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150C" w14:textId="77777777" w:rsidR="00CE325A" w:rsidRPr="00CE325A" w:rsidRDefault="00CE325A" w:rsidP="00CE325A">
      <w:pPr>
        <w:jc w:val="center"/>
      </w:pPr>
      <w:r w:rsidRPr="00CE325A">
        <w:t>САНКТ–ПЕТЕРБУРГСКОЕ ГОСУДАРСТВЕННОЕ</w:t>
      </w:r>
    </w:p>
    <w:p w14:paraId="4387622C" w14:textId="77777777" w:rsidR="00CE325A" w:rsidRPr="00CE325A" w:rsidRDefault="00CE325A" w:rsidP="00CE325A">
      <w:pPr>
        <w:jc w:val="center"/>
      </w:pPr>
      <w:r w:rsidRPr="00CE325A">
        <w:t>АВТОНОМНОЕ ОБРАЗОВАТЕЛЬНОЕ УЧРЕЖДЕНИЕ ВЫСШЕГО ОБРАЗОВАНИЯ</w:t>
      </w:r>
    </w:p>
    <w:p w14:paraId="3BCE12A4" w14:textId="77777777" w:rsidR="00CE325A" w:rsidRPr="00CE325A" w:rsidRDefault="00CE325A" w:rsidP="00CE325A">
      <w:pPr>
        <w:jc w:val="center"/>
      </w:pPr>
      <w:r w:rsidRPr="00CE325A">
        <w:t>САНКТ-ПЕТЕРБУРГСКИЙ ГОСУДАРСТВЕННЫЙ ИНСТИТУТ</w:t>
      </w:r>
    </w:p>
    <w:p w14:paraId="6BAE038E" w14:textId="77777777" w:rsidR="00CE325A" w:rsidRPr="00CE325A" w:rsidRDefault="00CE325A" w:rsidP="00CE325A">
      <w:pPr>
        <w:jc w:val="center"/>
        <w:rPr>
          <w:b/>
          <w:bCs/>
        </w:rPr>
      </w:pPr>
      <w:r w:rsidRPr="00CE325A">
        <w:t>ПСИХОЛОГИИ И СОЦИАЛЬНОЙ РАБОТЫ</w:t>
      </w:r>
    </w:p>
    <w:p w14:paraId="0DCB4098" w14:textId="77777777" w:rsidR="00CE325A" w:rsidRPr="00CE325A" w:rsidRDefault="00CE325A" w:rsidP="00CE325A">
      <w:pPr>
        <w:jc w:val="center"/>
      </w:pPr>
      <w:r w:rsidRPr="00CE325A">
        <w:t xml:space="preserve">Факультет </w:t>
      </w:r>
      <w:proofErr w:type="spellStart"/>
      <w:r w:rsidRPr="00CE325A">
        <w:t>психолого</w:t>
      </w:r>
      <w:proofErr w:type="spellEnd"/>
      <w:r w:rsidRPr="00CE325A">
        <w:t xml:space="preserve"> – социальной работы</w:t>
      </w:r>
    </w:p>
    <w:p w14:paraId="4979D12C" w14:textId="77777777" w:rsidR="00CE325A" w:rsidRPr="00CE325A" w:rsidRDefault="00CE325A" w:rsidP="00CE325A">
      <w:pPr>
        <w:jc w:val="center"/>
      </w:pPr>
      <w:r w:rsidRPr="00CE325A">
        <w:t>Кафедра теории и технологии социальной работы</w:t>
      </w:r>
    </w:p>
    <w:p w14:paraId="615A6989" w14:textId="77777777" w:rsidR="00CE325A" w:rsidRPr="00CE325A" w:rsidRDefault="00CE325A" w:rsidP="00CE325A">
      <w:pPr>
        <w:jc w:val="both"/>
        <w:rPr>
          <w:b/>
          <w:bCs/>
        </w:rPr>
      </w:pPr>
    </w:p>
    <w:p w14:paraId="648FA3D4" w14:textId="77777777" w:rsidR="00CE325A" w:rsidRPr="00CE325A" w:rsidRDefault="00CE325A" w:rsidP="00CE325A">
      <w:pPr>
        <w:jc w:val="center"/>
        <w:rPr>
          <w:b/>
          <w:bCs/>
        </w:rPr>
      </w:pPr>
      <w:r w:rsidRPr="00CE325A">
        <w:rPr>
          <w:b/>
          <w:bCs/>
        </w:rPr>
        <w:t>САМОСТОЯТЕЛЬНАЯ РАБОТА</w:t>
      </w:r>
    </w:p>
    <w:p w14:paraId="758CEDE7" w14:textId="77777777" w:rsidR="00CE325A" w:rsidRPr="00CE325A" w:rsidRDefault="00CE325A" w:rsidP="00CE325A">
      <w:pPr>
        <w:jc w:val="center"/>
      </w:pPr>
      <w:r w:rsidRPr="00CE325A">
        <w:t>По дисциплине</w:t>
      </w:r>
    </w:p>
    <w:p w14:paraId="3A8FBAB8" w14:textId="77777777" w:rsidR="00CE325A" w:rsidRPr="00CE325A" w:rsidRDefault="00CE325A" w:rsidP="00CE325A">
      <w:pPr>
        <w:jc w:val="center"/>
      </w:pPr>
      <w:r w:rsidRPr="00CE325A">
        <w:t>«Поведенческая экономика»</w:t>
      </w:r>
    </w:p>
    <w:p w14:paraId="36FAEBCD" w14:textId="77777777" w:rsidR="00CE325A" w:rsidRPr="00CE325A" w:rsidRDefault="00CE325A" w:rsidP="00CE325A">
      <w:pPr>
        <w:jc w:val="center"/>
      </w:pPr>
    </w:p>
    <w:p w14:paraId="5334F1D6" w14:textId="77777777" w:rsidR="00CE325A" w:rsidRPr="00CE325A" w:rsidRDefault="00CE325A" w:rsidP="00CE325A">
      <w:pPr>
        <w:jc w:val="center"/>
      </w:pPr>
    </w:p>
    <w:p w14:paraId="312E7AD5" w14:textId="77777777" w:rsidR="00CE325A" w:rsidRPr="00CE325A" w:rsidRDefault="00CE325A" w:rsidP="00CE325A">
      <w:pPr>
        <w:jc w:val="both"/>
        <w:rPr>
          <w:b/>
          <w:bCs/>
        </w:rPr>
      </w:pPr>
    </w:p>
    <w:p w14:paraId="5F2AF9EB" w14:textId="2341231A" w:rsidR="00CE325A" w:rsidRPr="00CE325A" w:rsidRDefault="00CE325A" w:rsidP="00CE325A">
      <w:pPr>
        <w:jc w:val="right"/>
      </w:pPr>
      <w:r w:rsidRPr="00CE325A">
        <w:t>Выполнил</w:t>
      </w:r>
    </w:p>
    <w:p w14:paraId="092D636F" w14:textId="77777777" w:rsidR="00CE325A" w:rsidRPr="00CE325A" w:rsidRDefault="00CE325A" w:rsidP="00CE325A">
      <w:pPr>
        <w:jc w:val="right"/>
      </w:pPr>
      <w:r w:rsidRPr="00CE325A">
        <w:t>Проверила:</w:t>
      </w:r>
    </w:p>
    <w:p w14:paraId="2D4C5053" w14:textId="77777777" w:rsidR="00CE325A" w:rsidRPr="00CE325A" w:rsidRDefault="00CE325A" w:rsidP="00CE325A">
      <w:pPr>
        <w:jc w:val="right"/>
      </w:pPr>
      <w:r w:rsidRPr="00CE325A">
        <w:t>Профессор кафедры</w:t>
      </w:r>
    </w:p>
    <w:p w14:paraId="63B24010" w14:textId="77777777" w:rsidR="00CE325A" w:rsidRPr="00CE325A" w:rsidRDefault="00CE325A" w:rsidP="00CE325A">
      <w:pPr>
        <w:jc w:val="right"/>
      </w:pPr>
      <w:r w:rsidRPr="00CE325A">
        <w:t>социально-гуманитарных дисциплин</w:t>
      </w:r>
    </w:p>
    <w:p w14:paraId="4850A3B1" w14:textId="77777777" w:rsidR="00CE325A" w:rsidRPr="00CE325A" w:rsidRDefault="00CE325A" w:rsidP="00CE325A">
      <w:pPr>
        <w:jc w:val="right"/>
      </w:pPr>
      <w:r w:rsidRPr="00CE325A">
        <w:t>Трапезникова Ирина Сергеевна</w:t>
      </w:r>
    </w:p>
    <w:p w14:paraId="58A49D22" w14:textId="77777777" w:rsidR="00CE325A" w:rsidRPr="00CE325A" w:rsidRDefault="00CE325A" w:rsidP="00CE325A">
      <w:pPr>
        <w:jc w:val="both"/>
        <w:rPr>
          <w:b/>
          <w:bCs/>
        </w:rPr>
      </w:pPr>
    </w:p>
    <w:p w14:paraId="3E2D0768" w14:textId="77777777" w:rsidR="00CE325A" w:rsidRPr="00CE325A" w:rsidRDefault="00CE325A" w:rsidP="00CE325A">
      <w:pPr>
        <w:jc w:val="both"/>
        <w:rPr>
          <w:b/>
          <w:bCs/>
        </w:rPr>
      </w:pPr>
    </w:p>
    <w:p w14:paraId="6081E364" w14:textId="7E962CF8" w:rsidR="00CE325A" w:rsidRDefault="00CE325A" w:rsidP="00CE325A">
      <w:pPr>
        <w:jc w:val="center"/>
      </w:pPr>
    </w:p>
    <w:p w14:paraId="62483402" w14:textId="070022B2" w:rsidR="00CE325A" w:rsidRDefault="00CE325A" w:rsidP="00CE325A">
      <w:pPr>
        <w:jc w:val="center"/>
      </w:pPr>
    </w:p>
    <w:p w14:paraId="2B3FC4B5" w14:textId="486A1684" w:rsidR="00CE325A" w:rsidRDefault="00CE325A" w:rsidP="00CE325A">
      <w:pPr>
        <w:jc w:val="center"/>
      </w:pPr>
    </w:p>
    <w:p w14:paraId="28EE99BA" w14:textId="648C2AE4" w:rsidR="00CE325A" w:rsidRDefault="00CE325A" w:rsidP="00CE325A">
      <w:pPr>
        <w:jc w:val="center"/>
      </w:pPr>
    </w:p>
    <w:p w14:paraId="7056611D" w14:textId="3CD89224" w:rsidR="00CE325A" w:rsidRDefault="00CE325A" w:rsidP="00CE325A">
      <w:pPr>
        <w:jc w:val="center"/>
      </w:pPr>
    </w:p>
    <w:p w14:paraId="5B6B4B9D" w14:textId="77777777" w:rsidR="00CE325A" w:rsidRPr="00CE325A" w:rsidRDefault="00CE325A" w:rsidP="00CE325A">
      <w:pPr>
        <w:jc w:val="center"/>
      </w:pPr>
    </w:p>
    <w:p w14:paraId="71FD5F86" w14:textId="77777777" w:rsidR="00CE325A" w:rsidRPr="00CE325A" w:rsidRDefault="00CE325A" w:rsidP="00CE325A">
      <w:pPr>
        <w:jc w:val="center"/>
      </w:pPr>
      <w:r w:rsidRPr="00CE325A">
        <w:t>САНКТ – ПЕТЕРБУРГ</w:t>
      </w:r>
    </w:p>
    <w:p w14:paraId="1702579E" w14:textId="52223073" w:rsidR="00CD1F9F" w:rsidRDefault="00CE325A" w:rsidP="00CE325A">
      <w:pPr>
        <w:jc w:val="center"/>
      </w:pPr>
      <w:r w:rsidRPr="00CE325A">
        <w:t>2024 г.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2183526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05BC06" w14:textId="29BECE0C" w:rsidR="00CD1F9F" w:rsidRPr="00CD1F9F" w:rsidRDefault="00CD1F9F" w:rsidP="00CD1F9F">
          <w:pPr>
            <w:pStyle w:val="a9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Содержание</w:t>
          </w:r>
        </w:p>
        <w:p w14:paraId="0EEE5934" w14:textId="490E2125" w:rsidR="00CD1F9F" w:rsidRPr="00CD1F9F" w:rsidRDefault="00CD1F9F" w:rsidP="00CD1F9F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noProof/>
            </w:rPr>
          </w:pPr>
          <w:r w:rsidRPr="00CD1F9F">
            <w:fldChar w:fldCharType="begin"/>
          </w:r>
          <w:r w:rsidRPr="00CD1F9F">
            <w:instrText xml:space="preserve"> TOC \o "1-3" \h \z \u </w:instrText>
          </w:r>
          <w:r w:rsidRPr="00CD1F9F">
            <w:fldChar w:fldCharType="separate"/>
          </w:r>
          <w:hyperlink w:anchor="_Toc167148150" w:history="1">
            <w:r w:rsidRPr="00CD1F9F">
              <w:rPr>
                <w:rStyle w:val="aa"/>
                <w:noProof/>
              </w:rPr>
              <w:t>Задание 1</w:t>
            </w:r>
            <w:r w:rsidRPr="00CD1F9F">
              <w:rPr>
                <w:noProof/>
                <w:webHidden/>
              </w:rPr>
              <w:tab/>
            </w:r>
            <w:r w:rsidRPr="00CD1F9F">
              <w:rPr>
                <w:noProof/>
                <w:webHidden/>
              </w:rPr>
              <w:fldChar w:fldCharType="begin"/>
            </w:r>
            <w:r w:rsidRPr="00CD1F9F">
              <w:rPr>
                <w:noProof/>
                <w:webHidden/>
              </w:rPr>
              <w:instrText xml:space="preserve"> PAGEREF _Toc167148150 \h </w:instrText>
            </w:r>
            <w:r w:rsidRPr="00CD1F9F">
              <w:rPr>
                <w:noProof/>
                <w:webHidden/>
              </w:rPr>
            </w:r>
            <w:r w:rsidRPr="00CD1F9F">
              <w:rPr>
                <w:noProof/>
                <w:webHidden/>
              </w:rPr>
              <w:fldChar w:fldCharType="separate"/>
            </w:r>
            <w:r w:rsidRPr="00CD1F9F">
              <w:rPr>
                <w:noProof/>
                <w:webHidden/>
              </w:rPr>
              <w:t>3</w:t>
            </w:r>
            <w:r w:rsidRPr="00CD1F9F">
              <w:rPr>
                <w:noProof/>
                <w:webHidden/>
              </w:rPr>
              <w:fldChar w:fldCharType="end"/>
            </w:r>
          </w:hyperlink>
        </w:p>
        <w:p w14:paraId="68E0E7D2" w14:textId="4B0C3974" w:rsidR="00CD1F9F" w:rsidRPr="00CD1F9F" w:rsidRDefault="00056F3F" w:rsidP="00CD1F9F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167148151" w:history="1">
            <w:r w:rsidR="00CD1F9F" w:rsidRPr="00CD1F9F">
              <w:rPr>
                <w:rStyle w:val="aa"/>
                <w:noProof/>
              </w:rPr>
              <w:t>Задание 2</w:t>
            </w:r>
            <w:r w:rsidR="00CD1F9F" w:rsidRPr="00CD1F9F">
              <w:rPr>
                <w:noProof/>
                <w:webHidden/>
              </w:rPr>
              <w:tab/>
            </w:r>
            <w:r w:rsidR="00CD1F9F" w:rsidRPr="00CD1F9F">
              <w:rPr>
                <w:noProof/>
                <w:webHidden/>
              </w:rPr>
              <w:fldChar w:fldCharType="begin"/>
            </w:r>
            <w:r w:rsidR="00CD1F9F" w:rsidRPr="00CD1F9F">
              <w:rPr>
                <w:noProof/>
                <w:webHidden/>
              </w:rPr>
              <w:instrText xml:space="preserve"> PAGEREF _Toc167148151 \h </w:instrText>
            </w:r>
            <w:r w:rsidR="00CD1F9F" w:rsidRPr="00CD1F9F">
              <w:rPr>
                <w:noProof/>
                <w:webHidden/>
              </w:rPr>
            </w:r>
            <w:r w:rsidR="00CD1F9F" w:rsidRPr="00CD1F9F">
              <w:rPr>
                <w:noProof/>
                <w:webHidden/>
              </w:rPr>
              <w:fldChar w:fldCharType="separate"/>
            </w:r>
            <w:r w:rsidR="00CD1F9F" w:rsidRPr="00CD1F9F">
              <w:rPr>
                <w:noProof/>
                <w:webHidden/>
              </w:rPr>
              <w:t>4</w:t>
            </w:r>
            <w:r w:rsidR="00CD1F9F" w:rsidRPr="00CD1F9F">
              <w:rPr>
                <w:noProof/>
                <w:webHidden/>
              </w:rPr>
              <w:fldChar w:fldCharType="end"/>
            </w:r>
          </w:hyperlink>
        </w:p>
        <w:p w14:paraId="172A4B84" w14:textId="1E473ABD" w:rsidR="00CD1F9F" w:rsidRPr="00CD1F9F" w:rsidRDefault="00056F3F" w:rsidP="00CD1F9F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167148152" w:history="1">
            <w:r w:rsidR="00CD1F9F" w:rsidRPr="00CD1F9F">
              <w:rPr>
                <w:rStyle w:val="aa"/>
                <w:noProof/>
              </w:rPr>
              <w:t>Задание 3</w:t>
            </w:r>
            <w:r w:rsidR="00CD1F9F" w:rsidRPr="00CD1F9F">
              <w:rPr>
                <w:noProof/>
                <w:webHidden/>
              </w:rPr>
              <w:tab/>
            </w:r>
            <w:r w:rsidR="00CD1F9F" w:rsidRPr="00CD1F9F">
              <w:rPr>
                <w:noProof/>
                <w:webHidden/>
              </w:rPr>
              <w:fldChar w:fldCharType="begin"/>
            </w:r>
            <w:r w:rsidR="00CD1F9F" w:rsidRPr="00CD1F9F">
              <w:rPr>
                <w:noProof/>
                <w:webHidden/>
              </w:rPr>
              <w:instrText xml:space="preserve"> PAGEREF _Toc167148152 \h </w:instrText>
            </w:r>
            <w:r w:rsidR="00CD1F9F" w:rsidRPr="00CD1F9F">
              <w:rPr>
                <w:noProof/>
                <w:webHidden/>
              </w:rPr>
            </w:r>
            <w:r w:rsidR="00CD1F9F" w:rsidRPr="00CD1F9F">
              <w:rPr>
                <w:noProof/>
                <w:webHidden/>
              </w:rPr>
              <w:fldChar w:fldCharType="separate"/>
            </w:r>
            <w:r w:rsidR="00CD1F9F" w:rsidRPr="00CD1F9F">
              <w:rPr>
                <w:noProof/>
                <w:webHidden/>
              </w:rPr>
              <w:t>6</w:t>
            </w:r>
            <w:r w:rsidR="00CD1F9F" w:rsidRPr="00CD1F9F">
              <w:rPr>
                <w:noProof/>
                <w:webHidden/>
              </w:rPr>
              <w:fldChar w:fldCharType="end"/>
            </w:r>
          </w:hyperlink>
        </w:p>
        <w:p w14:paraId="4C9FD3D4" w14:textId="0C60763F" w:rsidR="00CD1F9F" w:rsidRPr="00CD1F9F" w:rsidRDefault="00056F3F" w:rsidP="00CD1F9F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167148153" w:history="1">
            <w:r w:rsidR="00CD1F9F" w:rsidRPr="00CD1F9F">
              <w:rPr>
                <w:rStyle w:val="aa"/>
                <w:noProof/>
              </w:rPr>
              <w:t>Задание 4</w:t>
            </w:r>
            <w:r w:rsidR="00CD1F9F" w:rsidRPr="00CD1F9F">
              <w:rPr>
                <w:noProof/>
                <w:webHidden/>
              </w:rPr>
              <w:tab/>
            </w:r>
            <w:r w:rsidR="00CD1F9F" w:rsidRPr="00CD1F9F">
              <w:rPr>
                <w:noProof/>
                <w:webHidden/>
              </w:rPr>
              <w:fldChar w:fldCharType="begin"/>
            </w:r>
            <w:r w:rsidR="00CD1F9F" w:rsidRPr="00CD1F9F">
              <w:rPr>
                <w:noProof/>
                <w:webHidden/>
              </w:rPr>
              <w:instrText xml:space="preserve"> PAGEREF _Toc167148153 \h </w:instrText>
            </w:r>
            <w:r w:rsidR="00CD1F9F" w:rsidRPr="00CD1F9F">
              <w:rPr>
                <w:noProof/>
                <w:webHidden/>
              </w:rPr>
            </w:r>
            <w:r w:rsidR="00CD1F9F" w:rsidRPr="00CD1F9F">
              <w:rPr>
                <w:noProof/>
                <w:webHidden/>
              </w:rPr>
              <w:fldChar w:fldCharType="separate"/>
            </w:r>
            <w:r w:rsidR="00CD1F9F" w:rsidRPr="00CD1F9F">
              <w:rPr>
                <w:noProof/>
                <w:webHidden/>
              </w:rPr>
              <w:t>7</w:t>
            </w:r>
            <w:r w:rsidR="00CD1F9F" w:rsidRPr="00CD1F9F">
              <w:rPr>
                <w:noProof/>
                <w:webHidden/>
              </w:rPr>
              <w:fldChar w:fldCharType="end"/>
            </w:r>
          </w:hyperlink>
        </w:p>
        <w:p w14:paraId="2A8E53CB" w14:textId="290F92F1" w:rsidR="00CD1F9F" w:rsidRPr="00CD1F9F" w:rsidRDefault="00056F3F" w:rsidP="00CD1F9F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167148154" w:history="1">
            <w:r w:rsidR="00CD1F9F" w:rsidRPr="00CD1F9F">
              <w:rPr>
                <w:rStyle w:val="aa"/>
                <w:noProof/>
              </w:rPr>
              <w:t>Задание 5</w:t>
            </w:r>
            <w:r w:rsidR="00CD1F9F" w:rsidRPr="00CD1F9F">
              <w:rPr>
                <w:noProof/>
                <w:webHidden/>
              </w:rPr>
              <w:tab/>
            </w:r>
            <w:r w:rsidR="00CD1F9F" w:rsidRPr="00CD1F9F">
              <w:rPr>
                <w:noProof/>
                <w:webHidden/>
              </w:rPr>
              <w:fldChar w:fldCharType="begin"/>
            </w:r>
            <w:r w:rsidR="00CD1F9F" w:rsidRPr="00CD1F9F">
              <w:rPr>
                <w:noProof/>
                <w:webHidden/>
              </w:rPr>
              <w:instrText xml:space="preserve"> PAGEREF _Toc167148154 \h </w:instrText>
            </w:r>
            <w:r w:rsidR="00CD1F9F" w:rsidRPr="00CD1F9F">
              <w:rPr>
                <w:noProof/>
                <w:webHidden/>
              </w:rPr>
            </w:r>
            <w:r w:rsidR="00CD1F9F" w:rsidRPr="00CD1F9F">
              <w:rPr>
                <w:noProof/>
                <w:webHidden/>
              </w:rPr>
              <w:fldChar w:fldCharType="separate"/>
            </w:r>
            <w:r w:rsidR="00CD1F9F" w:rsidRPr="00CD1F9F">
              <w:rPr>
                <w:noProof/>
                <w:webHidden/>
              </w:rPr>
              <w:t>8</w:t>
            </w:r>
            <w:r w:rsidR="00CD1F9F" w:rsidRPr="00CD1F9F">
              <w:rPr>
                <w:noProof/>
                <w:webHidden/>
              </w:rPr>
              <w:fldChar w:fldCharType="end"/>
            </w:r>
          </w:hyperlink>
        </w:p>
        <w:p w14:paraId="31315C2D" w14:textId="27C276C5" w:rsidR="00CD1F9F" w:rsidRPr="00CD1F9F" w:rsidRDefault="00056F3F" w:rsidP="00CD1F9F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noProof/>
            </w:rPr>
          </w:pPr>
          <w:hyperlink w:anchor="_Toc167148155" w:history="1">
            <w:r w:rsidR="00CD1F9F" w:rsidRPr="00CD1F9F">
              <w:rPr>
                <w:rStyle w:val="aa"/>
                <w:noProof/>
              </w:rPr>
              <w:t>Задание 6</w:t>
            </w:r>
            <w:r w:rsidR="00CD1F9F" w:rsidRPr="00CD1F9F">
              <w:rPr>
                <w:noProof/>
                <w:webHidden/>
              </w:rPr>
              <w:tab/>
            </w:r>
            <w:r w:rsidR="00CD1F9F" w:rsidRPr="00CD1F9F">
              <w:rPr>
                <w:noProof/>
                <w:webHidden/>
              </w:rPr>
              <w:fldChar w:fldCharType="begin"/>
            </w:r>
            <w:r w:rsidR="00CD1F9F" w:rsidRPr="00CD1F9F">
              <w:rPr>
                <w:noProof/>
                <w:webHidden/>
              </w:rPr>
              <w:instrText xml:space="preserve"> PAGEREF _Toc167148155 \h </w:instrText>
            </w:r>
            <w:r w:rsidR="00CD1F9F" w:rsidRPr="00CD1F9F">
              <w:rPr>
                <w:noProof/>
                <w:webHidden/>
              </w:rPr>
            </w:r>
            <w:r w:rsidR="00CD1F9F" w:rsidRPr="00CD1F9F">
              <w:rPr>
                <w:noProof/>
                <w:webHidden/>
              </w:rPr>
              <w:fldChar w:fldCharType="separate"/>
            </w:r>
            <w:r w:rsidR="00CD1F9F" w:rsidRPr="00CD1F9F">
              <w:rPr>
                <w:noProof/>
                <w:webHidden/>
              </w:rPr>
              <w:t>10</w:t>
            </w:r>
            <w:r w:rsidR="00CD1F9F" w:rsidRPr="00CD1F9F">
              <w:rPr>
                <w:noProof/>
                <w:webHidden/>
              </w:rPr>
              <w:fldChar w:fldCharType="end"/>
            </w:r>
          </w:hyperlink>
        </w:p>
        <w:p w14:paraId="2A0B1EFA" w14:textId="6A531E4F" w:rsidR="00CD1F9F" w:rsidRPr="00CD1F9F" w:rsidRDefault="00CD1F9F" w:rsidP="00CD1F9F">
          <w:pPr>
            <w:spacing w:after="0" w:line="360" w:lineRule="auto"/>
            <w:ind w:firstLine="709"/>
            <w:jc w:val="both"/>
          </w:pPr>
          <w:r w:rsidRPr="00CD1F9F">
            <w:rPr>
              <w:b/>
              <w:bCs/>
            </w:rPr>
            <w:fldChar w:fldCharType="end"/>
          </w:r>
        </w:p>
      </w:sdtContent>
    </w:sdt>
    <w:p w14:paraId="762EC92A" w14:textId="77777777" w:rsidR="00012EB7" w:rsidRDefault="00012EB7" w:rsidP="00012EB7"/>
    <w:p w14:paraId="5BA4F304" w14:textId="77777777" w:rsidR="00012EB7" w:rsidRDefault="00012EB7">
      <w:r>
        <w:br w:type="page"/>
      </w:r>
    </w:p>
    <w:p w14:paraId="2BA511D2" w14:textId="78A74090" w:rsidR="00331F88" w:rsidRDefault="00012EB7" w:rsidP="00012EB7">
      <w:pPr>
        <w:pStyle w:val="1"/>
      </w:pPr>
      <w:bookmarkStart w:id="0" w:name="_Toc167148150"/>
      <w:r w:rsidRPr="00012EB7">
        <w:lastRenderedPageBreak/>
        <w:t>Задание 1</w:t>
      </w:r>
      <w:bookmarkEnd w:id="0"/>
    </w:p>
    <w:p w14:paraId="2EE1A5C2" w14:textId="7DCE695F" w:rsidR="00012EB7" w:rsidRDefault="00012EB7" w:rsidP="00012EB7">
      <w:pPr>
        <w:spacing w:after="0" w:line="360" w:lineRule="auto"/>
        <w:ind w:firstLine="709"/>
        <w:jc w:val="both"/>
      </w:pPr>
      <w:r>
        <w:t>В теории надзорный государственный орган действительно способен эффективно регулировать совместный вылов рыбы разными рыбаками в море, обеспечивая справедливость, экономичность и бережливость. Однако на практике такое регулирование сталкивается с множеством препятствий, которые значительно затрудняют достижение поставленных целей. Понимание данных трудностей с точки зрения поведенческой экономики позволяет выявить причины и механизмы, препятствующие эффективному управлению.</w:t>
      </w:r>
    </w:p>
    <w:p w14:paraId="303B01EC" w14:textId="715225F8" w:rsidR="00012EB7" w:rsidRDefault="00012EB7" w:rsidP="00012EB7">
      <w:pPr>
        <w:spacing w:after="0" w:line="360" w:lineRule="auto"/>
        <w:ind w:firstLine="709"/>
        <w:jc w:val="both"/>
      </w:pPr>
      <w:r>
        <w:t>Одной из основных проблем является асимметрия информации. Государственные органы часто не обладают полными и достоверными данными о состоянии рыболовства, методах вылова, а также о поведении рыбаков, что создает серьезные проблемы для разработки и внедрения эффективных регуляторных мер. Рыбаки, в свою очередь, могут скрывать или искажать информацию о количестве уловов, что затрудняет контроль и мониторинг. Асимметрия информации также влияет на восприятие справедливости регуляторных мер: разные группы рыбаков могут считать, что меры действуют в их ущерб, что подрывает доверие к регулирующим органам и реализуемой политики.</w:t>
      </w:r>
    </w:p>
    <w:p w14:paraId="4F690E04" w14:textId="3786CA73" w:rsidR="00012EB7" w:rsidRDefault="00012EB7" w:rsidP="00012EB7">
      <w:pPr>
        <w:spacing w:after="0" w:line="360" w:lineRule="auto"/>
        <w:ind w:firstLine="709"/>
        <w:jc w:val="both"/>
      </w:pPr>
      <w:r>
        <w:t>Еще один значительный аспект — это проблема коллективного действия, описанная в теории «трагедии общих ресурсов». Каждый рыбак, преследуя собственные интересы, стремится выловить как можно больше рыбы, что приводит к чрезмерной эксплуатации ресурса. Поведенческая экономика показывает, что индивидуальные интересы часто преобладают над коллективными, особенно когда последствия чрезмерного вылова (например, снижение популяции рыбы) не проявляются немедленно, а отложены во времени. Таким образом, даже зная о долгосрочных негативных последствиях, рыбаки могут продолжать вести себя нерационально с точки зрения общего блага.</w:t>
      </w:r>
    </w:p>
    <w:p w14:paraId="4937EFE9" w14:textId="3B195C1C" w:rsidR="00012EB7" w:rsidRDefault="00012EB7" w:rsidP="00012EB7">
      <w:pPr>
        <w:spacing w:after="0" w:line="360" w:lineRule="auto"/>
        <w:ind w:firstLine="709"/>
        <w:jc w:val="both"/>
      </w:pPr>
      <w:r>
        <w:t>Когнитивные искажения также играют важную роль в поведении рыбаков и эффективности регулирования. Например, эффект неопределенности может приводить к тому, что рыбаки предпочитают не учитывать потенциальные риски истощения ресурсов из-за неопределенности в оценке будущих последствий. При этом, эффект немедленной выгоды заставляет рыбаков предпочитать текущие выгоды долгосрочным, что усугубляет проблему чрезмерного вылова и снижает эффективность регуляторных мер, направленных на сохранение ресурсов.</w:t>
      </w:r>
    </w:p>
    <w:p w14:paraId="29F8385A" w14:textId="3B4F0319" w:rsidR="00012EB7" w:rsidRDefault="00012EB7" w:rsidP="00012EB7">
      <w:pPr>
        <w:spacing w:after="0" w:line="360" w:lineRule="auto"/>
        <w:ind w:firstLine="709"/>
        <w:jc w:val="both"/>
      </w:pPr>
      <w:r>
        <w:t xml:space="preserve">Кроме того, социальные нормы и поведенческие паттерны в рыболовных сообществах могут оказывать значительное влияние на соблюдение регуляторных мер. Если в сообществе принято нарушать правила или если существуют устойчивые практики, противоречащие регуляторным мерам, то государственное регулирование сталкивается с </w:t>
      </w:r>
      <w:r>
        <w:lastRenderedPageBreak/>
        <w:t>дополнительными трудностями. Рыбаки могут быть склонны к конформизму, продолжая следовать социальным нормам даже в ущерб собственным долгосрочным интересам и интересам общества.</w:t>
      </w:r>
    </w:p>
    <w:p w14:paraId="5879548A" w14:textId="2CB6221B" w:rsidR="00012EB7" w:rsidRDefault="00012EB7" w:rsidP="00012EB7">
      <w:pPr>
        <w:spacing w:after="0" w:line="360" w:lineRule="auto"/>
        <w:ind w:firstLine="709"/>
        <w:jc w:val="both"/>
      </w:pPr>
      <w:r>
        <w:t>Затраты на регулирование также играют значительную роль. Поведенческая экономика указывает на ограниченную рациональность и ограниченные ресурсы, которыми располагают государственные органы, что приводит к необходимости оптимизации затрат на мониторинг, контроль и принудительное исполнение правил. В условиях ограниченных ресурсов обеспечить высокий уровень контроля и соблюдение всех требований оказывается практически невозможно, что снижает общую эффективность регулирования.</w:t>
      </w:r>
    </w:p>
    <w:p w14:paraId="4364BC50" w14:textId="2B760AB6" w:rsidR="00012EB7" w:rsidRDefault="00012EB7" w:rsidP="00012EB7">
      <w:pPr>
        <w:spacing w:after="0" w:line="360" w:lineRule="auto"/>
        <w:ind w:firstLine="709"/>
        <w:jc w:val="both"/>
      </w:pPr>
      <w:r>
        <w:t>Таким образом, с точки зрения поведенческой экономики, государственное регулирование совместного вылова рыбы сталкивается с множеством характерных проблем, обусловленных асимметрией информации, проблемой коллективного действия, когнитивными искажениями, социальными нормами и ограниченными ресурсами. Поэтому, данные факторы усложняют достижение справедливости, экономичности и бережливости в управлении рыболовством, делая идеальные теоретические модели трудно реализуемыми на практике.</w:t>
      </w:r>
    </w:p>
    <w:p w14:paraId="6A85A721" w14:textId="246993FA" w:rsidR="00012EB7" w:rsidRDefault="00012EB7" w:rsidP="00012EB7">
      <w:pPr>
        <w:spacing w:after="0" w:line="360" w:lineRule="auto"/>
        <w:jc w:val="both"/>
      </w:pPr>
    </w:p>
    <w:p w14:paraId="015EA262" w14:textId="3D0F8DC0" w:rsidR="00012EB7" w:rsidRDefault="00012EB7" w:rsidP="00012EB7">
      <w:pPr>
        <w:pStyle w:val="1"/>
      </w:pPr>
      <w:bookmarkStart w:id="1" w:name="_Toc167148151"/>
      <w:r>
        <w:t>Задание 2</w:t>
      </w:r>
      <w:bookmarkEnd w:id="1"/>
    </w:p>
    <w:p w14:paraId="669ED5DD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Для оценки, облегчит ли предложение банка «Ближайший» долговую ситуацию Веры, необходимо провести детальный анализ ее финансовых обязательств при текущих и новых условиях кредитования.</w:t>
      </w:r>
    </w:p>
    <w:p w14:paraId="767F5FD4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Вначале рассмотрим текущую ситуацию с кредитом от банка «Соседний». Вера взяла кредит в размере 2 млн рублей на 10 лет под 15% годовых с ежемесячным аннуитетным платежом 32 267 рублей. Для аннуитетных платежей сумма погашения основного долга и процентов зафиксирована на постоянном уровне, при этом в первые месяцы основная часть платежа идет на погашение процентов, а затем постепенно увеличивается доля выплаты основного долга.</w:t>
      </w:r>
    </w:p>
    <w:p w14:paraId="0F8C36C3" w14:textId="6EC58930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 xml:space="preserve">Через год (12 месяцев) Вера выплатила банку 387 204 рубля (32 267 рублей × 12 месяцев). Однако </w:t>
      </w:r>
      <w:r>
        <w:t>данная</w:t>
      </w:r>
      <w:r w:rsidRPr="00012EB7">
        <w:t xml:space="preserve"> сумма включает в себя как проценты по кредиту, так и погашение основного долга. Для более точного расчета необходимо определить остаток основного долга после первого года выплат.</w:t>
      </w:r>
    </w:p>
    <w:p w14:paraId="111D9C4D" w14:textId="2B2CE7CE" w:rsidR="00012EB7" w:rsidRDefault="00012EB7" w:rsidP="00012EB7">
      <w:pPr>
        <w:spacing w:after="0" w:line="360" w:lineRule="auto"/>
        <w:ind w:firstLine="709"/>
        <w:jc w:val="both"/>
      </w:pPr>
      <w:r w:rsidRPr="00012EB7">
        <w:t>Рассчитаем это с использованием формулы аннуитетного платежа:</w:t>
      </w:r>
    </w:p>
    <w:p w14:paraId="74C59CEE" w14:textId="688ADD4F" w:rsidR="00012EB7" w:rsidRPr="000B55CA" w:rsidRDefault="00012EB7" w:rsidP="00012EB7">
      <w:pPr>
        <w:spacing w:after="0" w:line="360" w:lineRule="auto"/>
        <w:ind w:firstLine="709"/>
        <w:jc w:val="both"/>
      </w:pPr>
      <w:r>
        <w:rPr>
          <w:lang w:val="en-US"/>
        </w:rPr>
        <w:t>P</w:t>
      </w:r>
      <w:r w:rsidRPr="000B55CA"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Kxix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</m:d>
            <m:r>
              <w:rPr>
                <w:rFonts w:ascii="Cambria Math" w:hAnsi="Cambria Math"/>
                <w:lang w:val="en-US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</m:e>
            </m:d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-1</m:t>
            </m:r>
          </m:den>
        </m:f>
      </m:oMath>
    </w:p>
    <w:p w14:paraId="3E96393B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где:</w:t>
      </w:r>
    </w:p>
    <w:p w14:paraId="241E67D9" w14:textId="3258FC03" w:rsidR="00012EB7" w:rsidRPr="00012EB7" w:rsidRDefault="00012EB7" w:rsidP="00907E01">
      <w:pPr>
        <w:numPr>
          <w:ilvl w:val="0"/>
          <w:numId w:val="5"/>
        </w:numPr>
        <w:spacing w:after="0" w:line="360" w:lineRule="auto"/>
        <w:ind w:left="0" w:firstLine="709"/>
        <w:jc w:val="both"/>
      </w:pPr>
      <w:r w:rsidRPr="00012EB7">
        <w:rPr>
          <w:i/>
          <w:iCs/>
        </w:rPr>
        <w:lastRenderedPageBreak/>
        <w:t>P</w:t>
      </w:r>
      <w:r w:rsidRPr="00012EB7">
        <w:t xml:space="preserve"> — ежемесячный платеж,</w:t>
      </w:r>
    </w:p>
    <w:p w14:paraId="3D82BA63" w14:textId="1AC8D08A" w:rsidR="00012EB7" w:rsidRPr="00012EB7" w:rsidRDefault="00012EB7" w:rsidP="00907E01">
      <w:pPr>
        <w:numPr>
          <w:ilvl w:val="0"/>
          <w:numId w:val="5"/>
        </w:numPr>
        <w:spacing w:after="0" w:line="360" w:lineRule="auto"/>
        <w:ind w:left="0" w:firstLine="709"/>
        <w:jc w:val="both"/>
      </w:pPr>
      <w:r w:rsidRPr="00012EB7">
        <w:rPr>
          <w:i/>
          <w:iCs/>
        </w:rPr>
        <w:t>K</w:t>
      </w:r>
      <w:r w:rsidRPr="00012EB7">
        <w:t xml:space="preserve"> — сумма кредита,</w:t>
      </w:r>
    </w:p>
    <w:p w14:paraId="5B35378A" w14:textId="24F5029F" w:rsidR="00012EB7" w:rsidRPr="00012EB7" w:rsidRDefault="00012EB7" w:rsidP="00907E01">
      <w:pPr>
        <w:numPr>
          <w:ilvl w:val="0"/>
          <w:numId w:val="5"/>
        </w:numPr>
        <w:spacing w:after="0" w:line="360" w:lineRule="auto"/>
        <w:ind w:left="0" w:firstLine="709"/>
        <w:jc w:val="both"/>
      </w:pPr>
      <w:r w:rsidRPr="00012EB7">
        <w:rPr>
          <w:i/>
          <w:iCs/>
        </w:rPr>
        <w:t>i</w:t>
      </w:r>
      <w:r w:rsidRPr="00012EB7">
        <w:t xml:space="preserve"> — месячная процентная ставка (годовая ставка / 12),</w:t>
      </w:r>
    </w:p>
    <w:p w14:paraId="23A07F3A" w14:textId="667241FC" w:rsidR="00012EB7" w:rsidRPr="00012EB7" w:rsidRDefault="00012EB7" w:rsidP="00907E01">
      <w:pPr>
        <w:numPr>
          <w:ilvl w:val="0"/>
          <w:numId w:val="5"/>
        </w:numPr>
        <w:spacing w:after="0" w:line="360" w:lineRule="auto"/>
        <w:ind w:left="0" w:firstLine="709"/>
        <w:jc w:val="both"/>
      </w:pPr>
      <w:r w:rsidRPr="00012EB7">
        <w:rPr>
          <w:i/>
          <w:iCs/>
        </w:rPr>
        <w:t>n</w:t>
      </w:r>
      <w:r w:rsidRPr="00012EB7">
        <w:t xml:space="preserve"> — общее количество платежей.</w:t>
      </w:r>
    </w:p>
    <w:p w14:paraId="5F3DA298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Подставляем известные значения для кредита от банка «Соседний»:</w:t>
      </w:r>
    </w:p>
    <w:p w14:paraId="5A9388D8" w14:textId="5F172D00" w:rsidR="00012EB7" w:rsidRPr="00012EB7" w:rsidRDefault="00907E01" w:rsidP="00907E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i/>
          <w:iCs/>
        </w:rPr>
      </w:pPr>
      <w:r w:rsidRPr="00012EB7">
        <w:rPr>
          <w:i/>
          <w:iCs/>
        </w:rPr>
        <w:t>K</w:t>
      </w:r>
      <w:r w:rsidR="00012EB7" w:rsidRPr="00012EB7">
        <w:rPr>
          <w:i/>
          <w:iCs/>
        </w:rPr>
        <w:t>=2000000 рублей,</w:t>
      </w:r>
    </w:p>
    <w:p w14:paraId="68F5A853" w14:textId="22F2FB0F" w:rsidR="00012EB7" w:rsidRPr="00012EB7" w:rsidRDefault="00907E01" w:rsidP="00907E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i/>
          <w:iCs/>
        </w:rPr>
      </w:pPr>
      <w:r w:rsidRPr="00012EB7">
        <w:rPr>
          <w:i/>
          <w:iCs/>
        </w:rPr>
        <w:t>i</w:t>
      </w:r>
      <w:r w:rsidR="00012EB7" w:rsidRPr="00012EB7">
        <w:rPr>
          <w:i/>
          <w:iCs/>
        </w:rPr>
        <w:t>=15%/12=0,0125,</w:t>
      </w:r>
    </w:p>
    <w:p w14:paraId="33475A89" w14:textId="56349602" w:rsidR="00012EB7" w:rsidRPr="00012EB7" w:rsidRDefault="00907E01" w:rsidP="00907E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i/>
          <w:iCs/>
        </w:rPr>
      </w:pPr>
      <w:r w:rsidRPr="00012EB7">
        <w:rPr>
          <w:i/>
          <w:iCs/>
        </w:rPr>
        <w:t>n</w:t>
      </w:r>
      <w:r w:rsidR="00012EB7" w:rsidRPr="00012EB7">
        <w:rPr>
          <w:i/>
          <w:iCs/>
        </w:rPr>
        <w:t>=10×12=120 месяцев.</w:t>
      </w:r>
    </w:p>
    <w:p w14:paraId="53690034" w14:textId="3831BD61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Ежемесячный платеж</w:t>
      </w:r>
      <w:r w:rsidR="00907E01" w:rsidRPr="000B55CA">
        <w:t xml:space="preserve"> </w:t>
      </w:r>
      <w:r w:rsidRPr="00012EB7">
        <w:rPr>
          <w:i/>
          <w:iCs/>
        </w:rPr>
        <w:t>P</w:t>
      </w:r>
      <w:r w:rsidRPr="00012EB7">
        <w:t>=32267 рублей. Теперь определим остаток долга через год. Сначала рассчитаем сумму выплаты основного долга и процентов по первому году.</w:t>
      </w:r>
    </w:p>
    <w:p w14:paraId="7E399AD6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Ежемесячный процент на остаток основного долга составляет 0,0125 × 2,000,000 = 25,000 рублей в первый месяц. Постепенно, по мере уменьшения основного долга, размер процентов будет снижаться.</w:t>
      </w:r>
    </w:p>
    <w:p w14:paraId="02F5FCAE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По прошествии года остаток основного долга можно определить, используя амортизационный график или более простой подход с помощью финансового калькулятора. По расчетам, остаток долга составляет примерно 1,953,207 рублей.</w:t>
      </w:r>
    </w:p>
    <w:p w14:paraId="31EB5948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Теперь сравним это с предложением банка «Ближайший». Банк предлагает Вере новый кредит на 15 лет в размере 2,5 млн рублей под 11% годовых с ежемесячным платежом 28 415 рублей. Рассчитаем общие расходы Веры по новому кредиту.</w:t>
      </w:r>
    </w:p>
    <w:p w14:paraId="2CCCF03C" w14:textId="5B3E58BA" w:rsidR="00012EB7" w:rsidRPr="00012EB7" w:rsidRDefault="00012EB7" w:rsidP="00907E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i/>
          <w:iCs/>
        </w:rPr>
      </w:pPr>
      <w:r w:rsidRPr="00012EB7">
        <w:rPr>
          <w:i/>
          <w:iCs/>
        </w:rPr>
        <w:t>K=2500000 рублей,</w:t>
      </w:r>
    </w:p>
    <w:p w14:paraId="4D28E671" w14:textId="264AF526" w:rsidR="00012EB7" w:rsidRPr="00012EB7" w:rsidRDefault="00012EB7" w:rsidP="00907E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i/>
          <w:iCs/>
        </w:rPr>
      </w:pPr>
      <w:r w:rsidRPr="00012EB7">
        <w:rPr>
          <w:i/>
          <w:iCs/>
        </w:rPr>
        <w:t>i=11%/12=0,009167,</w:t>
      </w:r>
    </w:p>
    <w:p w14:paraId="351D632E" w14:textId="0A713735" w:rsidR="00012EB7" w:rsidRPr="00012EB7" w:rsidRDefault="00012EB7" w:rsidP="00907E0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i/>
          <w:iCs/>
        </w:rPr>
      </w:pPr>
      <w:r w:rsidRPr="00012EB7">
        <w:rPr>
          <w:i/>
          <w:iCs/>
        </w:rPr>
        <w:t>n=15×12=180 месяцев.</w:t>
      </w:r>
    </w:p>
    <w:p w14:paraId="4372A54A" w14:textId="4798ED1F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 xml:space="preserve">Ежемесячный платеж </w:t>
      </w:r>
      <w:r w:rsidRPr="00012EB7">
        <w:rPr>
          <w:i/>
          <w:iCs/>
        </w:rPr>
        <w:t>P</w:t>
      </w:r>
      <w:r w:rsidRPr="00012EB7">
        <w:t>=28415 рублей. Суммарные выплаты за 15 лет составят 28,415 × 180 = 5,114,700 рублей.</w:t>
      </w:r>
    </w:p>
    <w:p w14:paraId="203BEFF6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Сравним это с текущей ситуацией. Если Вера продолжит выплачивать кредит банку «Соседний» на тех же условиях, её общие расходы за оставшиеся 9 лет составят:</w:t>
      </w:r>
    </w:p>
    <w:p w14:paraId="36716F4F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32 267 рублей × 108 месяцев = 3 484 836 рублей.</w:t>
      </w:r>
    </w:p>
    <w:p w14:paraId="38C7F35B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Однако следует учесть остаток долга на момент рефинансирования (1 953 207 рублей) и прибавить проценты по новому кредиту.</w:t>
      </w:r>
    </w:p>
    <w:p w14:paraId="69CFB2BD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Таким образом, Вера выплатит:</w:t>
      </w:r>
    </w:p>
    <w:p w14:paraId="6008DDD7" w14:textId="77777777" w:rsidR="00012EB7" w:rsidRPr="00012EB7" w:rsidRDefault="00012EB7" w:rsidP="00012EB7">
      <w:pPr>
        <w:numPr>
          <w:ilvl w:val="0"/>
          <w:numId w:val="4"/>
        </w:numPr>
        <w:spacing w:after="0" w:line="360" w:lineRule="auto"/>
        <w:ind w:left="0" w:firstLine="709"/>
        <w:jc w:val="both"/>
      </w:pPr>
      <w:r w:rsidRPr="00012EB7">
        <w:t>Банку «Соседний»: 387 204 рублей за первый год.</w:t>
      </w:r>
    </w:p>
    <w:p w14:paraId="4F33717F" w14:textId="77777777" w:rsidR="00012EB7" w:rsidRPr="00012EB7" w:rsidRDefault="00012EB7" w:rsidP="00012EB7">
      <w:pPr>
        <w:numPr>
          <w:ilvl w:val="0"/>
          <w:numId w:val="4"/>
        </w:numPr>
        <w:spacing w:after="0" w:line="360" w:lineRule="auto"/>
        <w:ind w:left="0" w:firstLine="709"/>
        <w:jc w:val="both"/>
      </w:pPr>
      <w:r w:rsidRPr="00012EB7">
        <w:t>Банку «Ближайший»: 28 415 рублей × 180 месяцев = 5 114 700 рублей.</w:t>
      </w:r>
    </w:p>
    <w:p w14:paraId="039600AA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Общая сумма выплат: 387 204 рублей + 5 114 700 рублей = 5 501 904 рублей.</w:t>
      </w:r>
    </w:p>
    <w:p w14:paraId="2CA41FF9" w14:textId="77777777" w:rsidR="00012EB7" w:rsidRPr="00012EB7" w:rsidRDefault="00012EB7" w:rsidP="00012EB7">
      <w:pPr>
        <w:spacing w:after="0" w:line="360" w:lineRule="auto"/>
        <w:ind w:firstLine="709"/>
        <w:jc w:val="both"/>
      </w:pPr>
      <w:r w:rsidRPr="00012EB7">
        <w:t>По сравнению с продолжением текущего кредита (32 267 × 120 = 3 872 040 рублей), новое предложение увеличивает общую сумму выплат.</w:t>
      </w:r>
    </w:p>
    <w:p w14:paraId="2F6B5F5C" w14:textId="2440B418" w:rsidR="00012EB7" w:rsidRDefault="00012EB7" w:rsidP="00012EB7">
      <w:pPr>
        <w:spacing w:after="0" w:line="360" w:lineRule="auto"/>
        <w:ind w:firstLine="709"/>
        <w:jc w:val="both"/>
      </w:pPr>
      <w:r w:rsidRPr="00012EB7">
        <w:lastRenderedPageBreak/>
        <w:t>Следовательно, предложение банка «Ближайший» не облегчит долговую ситуацию Веры с точки зрения общей суммы выплат, несмотря на снижение ежемесячного платежа.</w:t>
      </w:r>
    </w:p>
    <w:p w14:paraId="6149C699" w14:textId="6654B92A" w:rsidR="00907E01" w:rsidRDefault="00907E01" w:rsidP="00012EB7">
      <w:pPr>
        <w:spacing w:after="0" w:line="360" w:lineRule="auto"/>
        <w:ind w:firstLine="709"/>
        <w:jc w:val="both"/>
      </w:pPr>
    </w:p>
    <w:p w14:paraId="5B507B70" w14:textId="4364911F" w:rsidR="00907E01" w:rsidRDefault="00907E01" w:rsidP="00907E01">
      <w:pPr>
        <w:pStyle w:val="1"/>
      </w:pPr>
      <w:bookmarkStart w:id="2" w:name="_Toc167148152"/>
      <w:r>
        <w:t>Задание 3</w:t>
      </w:r>
      <w:bookmarkEnd w:id="2"/>
    </w:p>
    <w:p w14:paraId="68069688" w14:textId="77777777" w:rsidR="00907E01" w:rsidRPr="00907E01" w:rsidRDefault="00907E01" w:rsidP="00907E01">
      <w:pPr>
        <w:spacing w:after="0" w:line="360" w:lineRule="auto"/>
        <w:ind w:firstLine="709"/>
        <w:jc w:val="both"/>
      </w:pPr>
      <w:r w:rsidRPr="00907E01">
        <w:t xml:space="preserve">Решение Владислава о докупке акций после их падения на 30% можно объяснить с точки зрения поведенческой экономики через несколько ключевых концепций, таких как эффект якоря, эффект предвзятости к подтверждению, эффект </w:t>
      </w:r>
      <w:proofErr w:type="spellStart"/>
      <w:r w:rsidRPr="00907E01">
        <w:t>располагаемости</w:t>
      </w:r>
      <w:proofErr w:type="spellEnd"/>
      <w:r w:rsidRPr="00907E01">
        <w:t xml:space="preserve"> и эффект потерь.</w:t>
      </w:r>
    </w:p>
    <w:p w14:paraId="5FC9BF2A" w14:textId="26425554" w:rsidR="00907E01" w:rsidRPr="00907E01" w:rsidRDefault="00907E01" w:rsidP="00907E01">
      <w:pPr>
        <w:spacing w:after="0" w:line="360" w:lineRule="auto"/>
        <w:ind w:firstLine="709"/>
        <w:jc w:val="both"/>
      </w:pPr>
      <w:r w:rsidRPr="00907E01">
        <w:t>Во-первых, можно рассмотреть эффект якоря. Владислав, вероятно, основывает свои</w:t>
      </w:r>
      <w:r>
        <w:t xml:space="preserve"> </w:t>
      </w:r>
      <w:r w:rsidRPr="00907E01">
        <w:t xml:space="preserve">ожидания относительно будущей стоимости акций на их первоначальной цене. Когда акции упали на 30%, новая более низкая цена может восприниматься им как временное отклонение от </w:t>
      </w:r>
      <w:r>
        <w:t>«</w:t>
      </w:r>
      <w:r w:rsidRPr="00907E01">
        <w:t>правильной</w:t>
      </w:r>
      <w:r>
        <w:t>»</w:t>
      </w:r>
      <w:r w:rsidRPr="00907E01">
        <w:t xml:space="preserve"> цены, которая </w:t>
      </w:r>
      <w:proofErr w:type="spellStart"/>
      <w:r w:rsidRPr="00907E01">
        <w:t>закоренилась</w:t>
      </w:r>
      <w:proofErr w:type="spellEnd"/>
      <w:r w:rsidRPr="00907E01">
        <w:t xml:space="preserve"> в его сознании как якорь. В результате, он рассматривает текущую цену как выгодную возможность для докупки, ожидая, что цена акций вернется к первоначальному уровню или выше.</w:t>
      </w:r>
    </w:p>
    <w:p w14:paraId="59B78D57" w14:textId="77777777" w:rsidR="00907E01" w:rsidRPr="00907E01" w:rsidRDefault="00907E01" w:rsidP="00907E01">
      <w:pPr>
        <w:spacing w:after="0" w:line="360" w:lineRule="auto"/>
        <w:ind w:firstLine="709"/>
        <w:jc w:val="both"/>
      </w:pPr>
      <w:r w:rsidRPr="00907E01">
        <w:t>Во-вторых, важную роль играет эффект предвзятости к подтверждению. Владислав, возможно, уже был уверен в перспективах роста акций, иначе он не инвестировал бы первоначально. Падение стоимости акций противоречит его ожиданиям, и он может активно искать информацию или примеры (например, успех его друга), которые подтверждают его первоначальные убеждения. Это приводит к тому, что он интерпретирует падение цен как временное и даже положительное явление, предоставляющее возможность для дополнительной покупки акций по сниженной цене.</w:t>
      </w:r>
    </w:p>
    <w:p w14:paraId="71B62FB3" w14:textId="75EF4BF8" w:rsidR="00907E01" w:rsidRPr="00907E01" w:rsidRDefault="00907E01" w:rsidP="00907E01">
      <w:pPr>
        <w:spacing w:after="0" w:line="360" w:lineRule="auto"/>
        <w:ind w:firstLine="709"/>
        <w:jc w:val="both"/>
      </w:pPr>
      <w:r w:rsidRPr="00907E01">
        <w:t xml:space="preserve">Эффект </w:t>
      </w:r>
      <w:proofErr w:type="spellStart"/>
      <w:r w:rsidRPr="00907E01">
        <w:t>располагаемости</w:t>
      </w:r>
      <w:proofErr w:type="spellEnd"/>
      <w:r w:rsidRPr="00907E01">
        <w:t xml:space="preserve"> также может объяснить его поведение. Владислав, возможно, недавно узнал о позитивном опыте своего друга, который совершил аналогичную операцию и получил прибыль. </w:t>
      </w:r>
      <w:r w:rsidR="003C29F5">
        <w:t>Данный</w:t>
      </w:r>
      <w:r w:rsidRPr="00907E01">
        <w:t xml:space="preserve"> пример оказывает сильное влияние на его восприятие риска и выгоды от докупки акций. Положительный исход, который ему легко вспомнить, заставляет его верить, что и его инвестиция принесет аналогичный результат.</w:t>
      </w:r>
    </w:p>
    <w:p w14:paraId="7550D1D9" w14:textId="1E629DE1" w:rsidR="00907E01" w:rsidRPr="00907E01" w:rsidRDefault="00907E01" w:rsidP="00907E01">
      <w:pPr>
        <w:spacing w:after="0" w:line="360" w:lineRule="auto"/>
        <w:ind w:firstLine="709"/>
        <w:jc w:val="both"/>
      </w:pPr>
      <w:r w:rsidRPr="00907E01">
        <w:t xml:space="preserve">Кроме того, поведенческая экономика обращает внимание на эффект потерь. Люди склонны испытывать потери сильнее, чем эквивалентные выигрыши. В данном случае Владислав может чувствовать себя дискомфортно из-за потери 30% стоимости своих акций. Докупка акций по более низкой цене может восприниматься как попытка </w:t>
      </w:r>
      <w:r w:rsidR="003C29F5">
        <w:t>«</w:t>
      </w:r>
      <w:r w:rsidRPr="00907E01">
        <w:t>отыграться</w:t>
      </w:r>
      <w:r w:rsidR="003C29F5">
        <w:t>»</w:t>
      </w:r>
      <w:r w:rsidRPr="00907E01">
        <w:t xml:space="preserve"> и снизить субъективное ощущение потерь. Если акции снова вырастут в цене, он сможет быстрее компенсировать свои первоначальные убытки, что уменьшит психологическое напряжение от потери.</w:t>
      </w:r>
    </w:p>
    <w:p w14:paraId="388F5A5C" w14:textId="77777777" w:rsidR="00907E01" w:rsidRPr="00907E01" w:rsidRDefault="00907E01" w:rsidP="00907E01">
      <w:pPr>
        <w:spacing w:after="0" w:line="360" w:lineRule="auto"/>
        <w:ind w:firstLine="709"/>
        <w:jc w:val="both"/>
      </w:pPr>
      <w:r w:rsidRPr="00907E01">
        <w:lastRenderedPageBreak/>
        <w:t>Также стоит упомянуть эффект средневзвешенной стоимости. Владислав, покупая акции по более низкой цене, снижает среднюю стоимость своих инвестиций. Это может дать ему уверенность в том, что будущий рост стоимости акций приведет к более быстрому выходу на прибыль. Он может считать, что таким образом он увеличивает свои шансы на получение прибыли в будущем, даже если рост стоимости будет менее значительным, чем ожидалось первоначально.</w:t>
      </w:r>
    </w:p>
    <w:p w14:paraId="6E8A3DE1" w14:textId="5C246160" w:rsidR="00907E01" w:rsidRPr="00907E01" w:rsidRDefault="00907E01" w:rsidP="00907E01">
      <w:pPr>
        <w:spacing w:after="0" w:line="360" w:lineRule="auto"/>
        <w:ind w:firstLine="709"/>
        <w:jc w:val="both"/>
      </w:pPr>
      <w:r w:rsidRPr="00907E01">
        <w:t xml:space="preserve">Таким образом, решение Владислава о докупке акций после их падения на 30% можно объяснить комбинацией нескольких поведенческих факторов: якорного эффекта, предвзятости к подтверждению, эффекта </w:t>
      </w:r>
      <w:proofErr w:type="spellStart"/>
      <w:r w:rsidRPr="00907E01">
        <w:t>располагаемости</w:t>
      </w:r>
      <w:proofErr w:type="spellEnd"/>
      <w:r w:rsidRPr="00907E01">
        <w:t xml:space="preserve">, эффекта потерь и стремления снизить среднюю стоимость своих инвестиций. </w:t>
      </w:r>
      <w:r w:rsidR="003C29F5">
        <w:t>Данные</w:t>
      </w:r>
      <w:r w:rsidRPr="00907E01">
        <w:t xml:space="preserve"> факторы влияют на восприятие Владислава, создавая у него убежденность в том, что дополнительная покупка акций является рациональным и выгодным решением, несмотря на предыдущие потери.</w:t>
      </w:r>
    </w:p>
    <w:p w14:paraId="04201986" w14:textId="7AB899E4" w:rsidR="00907E01" w:rsidRDefault="00907E01" w:rsidP="00907E01"/>
    <w:p w14:paraId="16F4CBA6" w14:textId="13D1E51A" w:rsidR="003C29F5" w:rsidRDefault="003C29F5" w:rsidP="003C29F5">
      <w:pPr>
        <w:pStyle w:val="1"/>
      </w:pPr>
      <w:bookmarkStart w:id="3" w:name="_Toc167148153"/>
      <w:r>
        <w:t>Задание 4</w:t>
      </w:r>
      <w:bookmarkEnd w:id="3"/>
    </w:p>
    <w:p w14:paraId="0F787452" w14:textId="34B2BD11" w:rsidR="003C29F5" w:rsidRDefault="003C29F5" w:rsidP="003C29F5">
      <w:pPr>
        <w:spacing w:after="0" w:line="360" w:lineRule="auto"/>
        <w:ind w:firstLine="709"/>
        <w:jc w:val="both"/>
      </w:pPr>
      <w:r>
        <w:t xml:space="preserve">Результаты исследования, проведенного учеными из университета </w:t>
      </w:r>
      <w:proofErr w:type="spellStart"/>
      <w:r>
        <w:t>Гронингена</w:t>
      </w:r>
      <w:proofErr w:type="spellEnd"/>
      <w:r>
        <w:t>, можно объяснить с точки зрения поведенческой экономики, опираясь на концепции социального доказательства, теории сломанных окон и норм нарушения.</w:t>
      </w:r>
    </w:p>
    <w:p w14:paraId="4915322F" w14:textId="05C895B7" w:rsidR="003C29F5" w:rsidRDefault="003C29F5" w:rsidP="003C29F5">
      <w:pPr>
        <w:spacing w:after="0" w:line="360" w:lineRule="auto"/>
        <w:ind w:firstLine="709"/>
        <w:jc w:val="both"/>
      </w:pPr>
      <w:r>
        <w:t>Во-первых, важную роль играет концепция социального доказательства. Согласно данной теории, люди склонны ориентироваться на поведение окружающих, особенно в ситуациях неопределенности. Если почтовые ящики разрисованы граффити, это сигнализирует о том, что в данном месте социальные нормы соблюдаются не строго и определённые формы антисоциального поведения (например, вандализм) приемлемы, что снижает психологические барьеры для совершения противоправных действий, таких как кража конверта с деньгами.</w:t>
      </w:r>
    </w:p>
    <w:p w14:paraId="3AFDF69C" w14:textId="45608CE2" w:rsidR="003C29F5" w:rsidRDefault="003C29F5" w:rsidP="003C29F5">
      <w:pPr>
        <w:spacing w:after="0" w:line="360" w:lineRule="auto"/>
        <w:ind w:firstLine="709"/>
        <w:jc w:val="both"/>
      </w:pPr>
      <w:r>
        <w:t xml:space="preserve">Во-вторых, результаты можно объяснить через теорию сломанных окон, разработанную Джеймсом Уилсоном и Джорджем </w:t>
      </w:r>
      <w:proofErr w:type="spellStart"/>
      <w:r>
        <w:t>Келлингом</w:t>
      </w:r>
      <w:proofErr w:type="spellEnd"/>
      <w:r>
        <w:t>. Согласно данной теории, видимые признаки беспорядка и пренебрежения к общественному пространству, такие как граффити, приводят к увеличению уровня преступности. Граффити на почтовых ящиках создают впечатление, что за этим районом не следят и что нарушители не будут наказаны, что стимулирует людей к совершению кражи, поскольку они ощущают меньший риск быть пойманными.</w:t>
      </w:r>
    </w:p>
    <w:p w14:paraId="3376596A" w14:textId="604A617D" w:rsidR="003C29F5" w:rsidRDefault="003C29F5" w:rsidP="003C29F5">
      <w:pPr>
        <w:spacing w:after="0" w:line="360" w:lineRule="auto"/>
        <w:ind w:firstLine="709"/>
        <w:jc w:val="both"/>
      </w:pPr>
      <w:r>
        <w:t xml:space="preserve">Также важно учитывать роль норм нарушения. Поведенческая экономика указывает на то, что люди склонны следовать нормам поведения, преобладающим в их окружении. Разрисованные граффити почтовые ящики могут восприниматься как сигнал того, что нормы порядка и законопослушания в данном месте либо слабо регулируются, или </w:t>
      </w:r>
      <w:r>
        <w:lastRenderedPageBreak/>
        <w:t>отсутствуют, что может подталкивать людей, которые в других условиях не решились бы на кражу, к нарушению закона.</w:t>
      </w:r>
    </w:p>
    <w:p w14:paraId="6804CA23" w14:textId="78A0B4FD" w:rsidR="003C29F5" w:rsidRDefault="003C29F5" w:rsidP="003C29F5">
      <w:pPr>
        <w:spacing w:after="0" w:line="360" w:lineRule="auto"/>
        <w:ind w:firstLine="709"/>
        <w:jc w:val="both"/>
      </w:pPr>
      <w:r>
        <w:t>Кроме того, можно рассмотреть эффект обезличивания. «Испорченные» почтовые ящики могут создавать чувство анонимности и уменьшенной личной ответственности у потенциальных преступников. В окружении, где нет порядка и контроля, люди могут чувствовать себя более раскованно и, следовательно, менее подверженными последствиям реализуемых действий. Сформированное ощущение анонимности может способствовать увеличению уровня краж.</w:t>
      </w:r>
    </w:p>
    <w:p w14:paraId="10B56B60" w14:textId="2FF982CB" w:rsidR="003C29F5" w:rsidRDefault="003C29F5" w:rsidP="003C29F5">
      <w:pPr>
        <w:spacing w:after="0" w:line="360" w:lineRule="auto"/>
        <w:ind w:firstLine="709"/>
        <w:jc w:val="both"/>
      </w:pPr>
      <w:r>
        <w:t>Описанные результаты также могут быть объяснены через концепцию морального лицензирования. Люди могут воспринимать собственные мелкие нарушения как менее значимые в контексте окружения, которое уже демонстрирует признаки нарушений и беспорядка. Если почтовые ящики разрисованы граффити, человек может считать собственную кражу менее серьезной или оправданной, так как окружающая среда уже нарушена.</w:t>
      </w:r>
    </w:p>
    <w:p w14:paraId="764EE20C" w14:textId="121B6B82" w:rsidR="003C29F5" w:rsidRDefault="003C29F5" w:rsidP="003C29F5">
      <w:pPr>
        <w:spacing w:after="0" w:line="360" w:lineRule="auto"/>
        <w:ind w:firstLine="709"/>
        <w:jc w:val="both"/>
      </w:pPr>
      <w:r>
        <w:t xml:space="preserve">Таким образом, исследование из университета </w:t>
      </w:r>
      <w:proofErr w:type="spellStart"/>
      <w:r>
        <w:t>Гронингена</w:t>
      </w:r>
      <w:proofErr w:type="spellEnd"/>
      <w:r>
        <w:t xml:space="preserve"> показывает, как физическое состояние окружения и видимые признаки социального поведения могут влиять на уровень преступности. Граффити на почтовых ящиках создают среду, которая способствует нарушению социальных норм и увеличению уровня воровства, посредством воздействия на социальное доказательство, теорию сломанных окон, нормы нарушения, эффект обезличивания и моральное лицензирование.</w:t>
      </w:r>
    </w:p>
    <w:p w14:paraId="40F811D3" w14:textId="07D09CF4" w:rsidR="003C29F5" w:rsidRDefault="003C29F5" w:rsidP="003C29F5">
      <w:pPr>
        <w:spacing w:after="0" w:line="360" w:lineRule="auto"/>
        <w:ind w:firstLine="709"/>
        <w:jc w:val="both"/>
      </w:pPr>
    </w:p>
    <w:p w14:paraId="6921F330" w14:textId="1A9BC267" w:rsidR="003C29F5" w:rsidRDefault="003C29F5" w:rsidP="003C29F5">
      <w:pPr>
        <w:pStyle w:val="1"/>
      </w:pPr>
      <w:bookmarkStart w:id="4" w:name="_Toc167148154"/>
      <w:r>
        <w:t>Задание 5</w:t>
      </w:r>
      <w:bookmarkEnd w:id="4"/>
    </w:p>
    <w:p w14:paraId="38C97424" w14:textId="77777777" w:rsidR="003C29F5" w:rsidRPr="003C29F5" w:rsidRDefault="003C29F5" w:rsidP="003C29F5">
      <w:pPr>
        <w:spacing w:after="0" w:line="360" w:lineRule="auto"/>
        <w:ind w:firstLine="709"/>
        <w:jc w:val="both"/>
      </w:pPr>
      <w:r w:rsidRPr="003C29F5">
        <w:t>Феномен, наблюдаемый в исследовании Национального агентства финансовых исследований (НАФИ), можно объяснить с точки зрения поведенческой экономики, обращаясь к нескольким ключевым концепциям, таким как статус-кво, эффект владения, поисковые издержки и финансовая грамотность.</w:t>
      </w:r>
    </w:p>
    <w:p w14:paraId="23795B80" w14:textId="5F9C1EB3" w:rsidR="003C29F5" w:rsidRPr="003C29F5" w:rsidRDefault="003C29F5" w:rsidP="003C29F5">
      <w:pPr>
        <w:spacing w:after="0" w:line="360" w:lineRule="auto"/>
        <w:ind w:firstLine="709"/>
        <w:jc w:val="both"/>
      </w:pPr>
      <w:r w:rsidRPr="003C29F5">
        <w:t xml:space="preserve">Во-первых, концепция статус-кво играет значительную роль в формировании лояльности банковских клиентов. Статус-кво подразумевает предпочтение текущего состояния дел и сопротивление изменениям. Люди склонны оставаться приверженными своему банку, даже если существуют более выгодные предложения, поскольку смена банка требует определенных усилий и времени, что воспринимается как неудобство и риск. Это особенно актуально для старшей возрастной группы (от 45 до 65 лет), которая демонстрирует максимальный уровень лояльности (88%). </w:t>
      </w:r>
      <w:r>
        <w:t>Лица пожилого возраста</w:t>
      </w:r>
      <w:r w:rsidRPr="003C29F5">
        <w:t>, как правило, менее склонны к изменениям и нововведениям, предпочитая стабильность и предсказуемость.</w:t>
      </w:r>
    </w:p>
    <w:p w14:paraId="01B80FDA" w14:textId="353CCA61" w:rsidR="003C29F5" w:rsidRPr="003C29F5" w:rsidRDefault="003C29F5" w:rsidP="003C29F5">
      <w:pPr>
        <w:spacing w:after="0" w:line="360" w:lineRule="auto"/>
        <w:ind w:firstLine="709"/>
        <w:jc w:val="both"/>
      </w:pPr>
      <w:r w:rsidRPr="003C29F5">
        <w:lastRenderedPageBreak/>
        <w:t>Эффект владения</w:t>
      </w:r>
      <w:r>
        <w:t xml:space="preserve"> </w:t>
      </w:r>
      <w:r w:rsidRPr="003C29F5">
        <w:t xml:space="preserve">также может объяснять высокий уровень лояльности. Согласно </w:t>
      </w:r>
      <w:r>
        <w:t xml:space="preserve">данному </w:t>
      </w:r>
      <w:r w:rsidRPr="003C29F5">
        <w:t xml:space="preserve">эффекту, люди придают большее значение тому, что уже владеют, чем аналогичным новым предложениям. Это приводит к тому, что клиенты оценивают услуги своего текущего банка как более ценные и предпочитают их, несмотря на наличие более выгодных условий в других банках. </w:t>
      </w:r>
      <w:r>
        <w:t>Данный</w:t>
      </w:r>
      <w:r w:rsidRPr="003C29F5">
        <w:t xml:space="preserve"> эффект может быть менее выраженным среди молодых пользователей (от 25 до 34 лет), что объясняет их более низкий уровень лояльности (82%) по сравнению со старшими пользователями.</w:t>
      </w:r>
    </w:p>
    <w:p w14:paraId="0D44C337" w14:textId="561FFE55" w:rsidR="003C29F5" w:rsidRPr="003C29F5" w:rsidRDefault="003C29F5" w:rsidP="003C29F5">
      <w:pPr>
        <w:spacing w:after="0" w:line="360" w:lineRule="auto"/>
        <w:ind w:firstLine="709"/>
        <w:jc w:val="both"/>
      </w:pPr>
      <w:r w:rsidRPr="003C29F5">
        <w:t>Поисковые издержки являются еще одним фактором, объясняющим лояльность клиентов. Издержки, связанные с поиском и сравнением условий в различных банках, могут быть значительными</w:t>
      </w:r>
      <w:r>
        <w:t xml:space="preserve">, что </w:t>
      </w:r>
      <w:r w:rsidRPr="003C29F5">
        <w:t>включает в себя время, усилия и когнитивные ресурсы, необходимые для анализа предложений. Для большинства клиентов, особенно тех, кто не обладает высокой финансовой грамотностью,</w:t>
      </w:r>
      <w:r>
        <w:t xml:space="preserve"> данные </w:t>
      </w:r>
      <w:r w:rsidRPr="003C29F5">
        <w:t xml:space="preserve">издержки могут перевешивать потенциальную выгоду от перехода к другому банку. Это также объясняет, почему мужчины </w:t>
      </w:r>
      <w:r w:rsidR="00931A74">
        <w:t>более</w:t>
      </w:r>
      <w:r w:rsidRPr="003C29F5">
        <w:t xml:space="preserve"> склонны перейти в другой банк при более выгодных условиях (20% против 12% среди женщин), так как мужчины могут быть более склонны к активному поиску и анализу информации.</w:t>
      </w:r>
    </w:p>
    <w:p w14:paraId="2201BE1F" w14:textId="77777777" w:rsidR="003C29F5" w:rsidRPr="003C29F5" w:rsidRDefault="003C29F5" w:rsidP="003C29F5">
      <w:pPr>
        <w:spacing w:after="0" w:line="360" w:lineRule="auto"/>
        <w:ind w:firstLine="709"/>
        <w:jc w:val="both"/>
      </w:pPr>
      <w:r w:rsidRPr="003C29F5">
        <w:t>Финансовая грамотность играет ключевую роль в принятии решений о смене банка. Финансово грамотные пользователи склонны более тщательно анализировать условия и тарифы финансовых услуг, стремясь к максимальной выгоде. Это особенно характерно для жителей Москвы, которые демонстрируют более низкий уровень лояльности банкам. Финансово грамотные клиенты осознают, что переход к другому банку может привести к значительной экономии средств или улучшению качества обслуживания, что снижает их привязанность к текущему банку.</w:t>
      </w:r>
    </w:p>
    <w:p w14:paraId="37E76B04" w14:textId="77777777" w:rsidR="003C29F5" w:rsidRPr="003C29F5" w:rsidRDefault="003C29F5" w:rsidP="003C29F5">
      <w:pPr>
        <w:spacing w:after="0" w:line="360" w:lineRule="auto"/>
        <w:ind w:firstLine="709"/>
        <w:jc w:val="both"/>
      </w:pPr>
      <w:r w:rsidRPr="003C29F5">
        <w:t>С ростом уровня доходов и материального положения уровень лояльности также снижается. Это может быть связано с тем, что люди с более высоким доходом имеют больше возможностей для выбора и могут позволить себе более сложные и разнообразные финансовые продукты. Они более осведомлены о существующих предложениях на рынке и готовы менять банк ради улучшения условий. Стремление к максимальной выгоде становится сильнейшим мотивом, который перевешивает прочие факторы лояльности.</w:t>
      </w:r>
    </w:p>
    <w:p w14:paraId="44015926" w14:textId="77777777" w:rsidR="003C29F5" w:rsidRPr="003C29F5" w:rsidRDefault="003C29F5" w:rsidP="003C29F5">
      <w:pPr>
        <w:spacing w:after="0" w:line="360" w:lineRule="auto"/>
        <w:ind w:firstLine="709"/>
        <w:jc w:val="both"/>
      </w:pPr>
      <w:r w:rsidRPr="003C29F5">
        <w:t>Таким образом, феномен высокой лояльности банковских клиентов можно объяснить через призму поведенческой экономики, учитывая такие факторы, как статус-кво, эффект владения, поисковые издержки и финансовая грамотность. Клиенты склонны оставаться приверженными своему банку из-за предпочтения стабильности, восприятия текущих услуг как более ценных, высоких издержек на поиск новых предложений и уровня финансовой грамотности.</w:t>
      </w:r>
    </w:p>
    <w:p w14:paraId="647DA090" w14:textId="47AFC252" w:rsidR="003C29F5" w:rsidRDefault="00931A74" w:rsidP="00931A74">
      <w:pPr>
        <w:pStyle w:val="1"/>
      </w:pPr>
      <w:bookmarkStart w:id="5" w:name="_Toc167148155"/>
      <w:r>
        <w:lastRenderedPageBreak/>
        <w:t>Задание 6</w:t>
      </w:r>
      <w:bookmarkEnd w:id="5"/>
    </w:p>
    <w:p w14:paraId="6CD61AB1" w14:textId="77777777" w:rsidR="00931A74" w:rsidRPr="00931A74" w:rsidRDefault="00931A74" w:rsidP="00931A74">
      <w:pPr>
        <w:spacing w:after="0" w:line="360" w:lineRule="auto"/>
        <w:ind w:firstLine="709"/>
        <w:jc w:val="both"/>
      </w:pPr>
      <w:r w:rsidRPr="00931A74">
        <w:t xml:space="preserve">Когнитивные искажения представляют собой систематические отклонения в мышлении, которые могут привести к ошибкам в восприятии и оценке информации. В данном случае, эксперимент, проведенный Питером </w:t>
      </w:r>
      <w:proofErr w:type="spellStart"/>
      <w:r w:rsidRPr="00931A74">
        <w:t>Дитто</w:t>
      </w:r>
      <w:proofErr w:type="spellEnd"/>
      <w:r w:rsidRPr="00931A74">
        <w:t xml:space="preserve"> и Девидом </w:t>
      </w:r>
      <w:proofErr w:type="spellStart"/>
      <w:r w:rsidRPr="00931A74">
        <w:t>Лопезом</w:t>
      </w:r>
      <w:proofErr w:type="spellEnd"/>
      <w:r w:rsidRPr="00931A74">
        <w:t>, демонстрирует, как когнитивные искажения могут повлиять на поведение людей в зависимости от того, какая информация предоставлена и как она соотносится с их убеждениями и ожиданиями.</w:t>
      </w:r>
    </w:p>
    <w:p w14:paraId="6CCAD8BB" w14:textId="77777777" w:rsidR="00931A74" w:rsidRPr="00931A74" w:rsidRDefault="00931A74" w:rsidP="00931A74">
      <w:pPr>
        <w:spacing w:after="0" w:line="360" w:lineRule="auto"/>
        <w:ind w:firstLine="709"/>
        <w:jc w:val="both"/>
      </w:pPr>
      <w:r w:rsidRPr="00931A74">
        <w:t>1. В чем причина когнитивного искажения?</w:t>
      </w:r>
    </w:p>
    <w:p w14:paraId="3CE97572" w14:textId="6B9945BB" w:rsidR="00931A74" w:rsidRPr="00931A74" w:rsidRDefault="00931A74" w:rsidP="00931A74">
      <w:pPr>
        <w:spacing w:after="0" w:line="360" w:lineRule="auto"/>
        <w:ind w:firstLine="709"/>
        <w:jc w:val="both"/>
      </w:pPr>
      <w:r w:rsidRPr="00931A74">
        <w:t>Причина когнитивного искажения в данном эксперименте заключается в защитных механизмах психики, стремящихся сохранить положительное представление о себе и своем здоровье. Когда информация противоречит желаемым убеждениям (например, что человек здоров), индивиды склонны дольше ждать и повторять тесты, чтобы получить подтверждение с</w:t>
      </w:r>
      <w:r>
        <w:t>обственным</w:t>
      </w:r>
      <w:r w:rsidRPr="00931A74">
        <w:t xml:space="preserve"> позитивным ожиданиям. Это связано с когнитивным диссонансом – состоянием дискомфорта, которое возникает, когда новая информация конфликтует с существующими убеждениями.</w:t>
      </w:r>
    </w:p>
    <w:p w14:paraId="634B6576" w14:textId="77777777" w:rsidR="00931A74" w:rsidRPr="00931A74" w:rsidRDefault="00931A74" w:rsidP="00931A74">
      <w:pPr>
        <w:spacing w:after="0" w:line="360" w:lineRule="auto"/>
        <w:ind w:firstLine="709"/>
        <w:jc w:val="both"/>
      </w:pPr>
      <w:r w:rsidRPr="00931A74">
        <w:t>2. Какие психологические черты людей лежат в основе данного поведенческого эффекта?</w:t>
      </w:r>
    </w:p>
    <w:p w14:paraId="5E8051E8" w14:textId="77777777" w:rsidR="00931A74" w:rsidRPr="00931A74" w:rsidRDefault="00931A74" w:rsidP="00931A74">
      <w:pPr>
        <w:spacing w:after="0" w:line="360" w:lineRule="auto"/>
        <w:ind w:firstLine="709"/>
        <w:jc w:val="both"/>
      </w:pPr>
      <w:r w:rsidRPr="00931A74">
        <w:t>В основе данного поведенческого эффекта лежат несколько ключевых психологических черт:</w:t>
      </w:r>
    </w:p>
    <w:p w14:paraId="7BD31CA6" w14:textId="08A8F30E" w:rsidR="00931A74" w:rsidRPr="00931A74" w:rsidRDefault="00931A74" w:rsidP="00931A74">
      <w:pPr>
        <w:numPr>
          <w:ilvl w:val="0"/>
          <w:numId w:val="7"/>
        </w:numPr>
        <w:spacing w:after="0" w:line="360" w:lineRule="auto"/>
        <w:ind w:left="0" w:firstLine="709"/>
        <w:jc w:val="both"/>
      </w:pPr>
      <w:r w:rsidRPr="00931A74">
        <w:t>Когнитивный диссонанс: люди стремятся избежать дискомфорта, который возникает при столкновении с противоречивой информацией. Они будут искать подтверждение своим существующим убеждениям и игнорировать или дискредитировать противоречивую информацию.</w:t>
      </w:r>
    </w:p>
    <w:p w14:paraId="6CFF17AB" w14:textId="4F1ED637" w:rsidR="00931A74" w:rsidRPr="00931A74" w:rsidRDefault="00931A74" w:rsidP="00931A74">
      <w:pPr>
        <w:numPr>
          <w:ilvl w:val="0"/>
          <w:numId w:val="7"/>
        </w:numPr>
        <w:spacing w:after="0" w:line="360" w:lineRule="auto"/>
        <w:ind w:left="0" w:firstLine="709"/>
        <w:jc w:val="both"/>
      </w:pPr>
      <w:r w:rsidRPr="00931A74">
        <w:t>Подтверждающее искажение</w:t>
      </w:r>
      <w:r>
        <w:t xml:space="preserve">: </w:t>
      </w:r>
      <w:r w:rsidRPr="00931A74">
        <w:t>люди склонны искать, интерпретировать и запоминать информацию таким образом, чтобы она подтверждала их существующие убеждения и ожидания.</w:t>
      </w:r>
    </w:p>
    <w:p w14:paraId="113BF5A2" w14:textId="23A28BB8" w:rsidR="00931A74" w:rsidRPr="00931A74" w:rsidRDefault="00931A74" w:rsidP="00931A74">
      <w:pPr>
        <w:numPr>
          <w:ilvl w:val="0"/>
          <w:numId w:val="7"/>
        </w:numPr>
        <w:spacing w:after="0" w:line="360" w:lineRule="auto"/>
        <w:ind w:left="0" w:firstLine="709"/>
        <w:jc w:val="both"/>
      </w:pPr>
      <w:r w:rsidRPr="00931A74">
        <w:t>Оптимизм и самообман: люди часто имеют склонность к оптимизму относительно своего здоровья и благополучия, что ведет к самообману в попытках сохранить позитивное представление о себе.</w:t>
      </w:r>
    </w:p>
    <w:p w14:paraId="444AFABA" w14:textId="2872D1E1" w:rsidR="00931A74" w:rsidRPr="00931A74" w:rsidRDefault="00931A74" w:rsidP="00931A74">
      <w:pPr>
        <w:numPr>
          <w:ilvl w:val="0"/>
          <w:numId w:val="7"/>
        </w:numPr>
        <w:spacing w:after="0" w:line="360" w:lineRule="auto"/>
        <w:ind w:left="0" w:firstLine="709"/>
        <w:jc w:val="both"/>
      </w:pPr>
      <w:r w:rsidRPr="00931A74">
        <w:t>Избегание негативных эмоций: столкновение с потенциально негативной информацией вызывает стресс и тревогу, которые люди стараются минимизировать.</w:t>
      </w:r>
    </w:p>
    <w:p w14:paraId="0B81983A" w14:textId="77777777" w:rsidR="00931A74" w:rsidRPr="00931A74" w:rsidRDefault="00931A74" w:rsidP="00931A74">
      <w:pPr>
        <w:spacing w:after="0" w:line="360" w:lineRule="auto"/>
        <w:ind w:firstLine="709"/>
        <w:jc w:val="both"/>
      </w:pPr>
      <w:r w:rsidRPr="00931A74">
        <w:t>3. Можно ли утверждать, что участники эксперимента ведут себя иррационально?</w:t>
      </w:r>
    </w:p>
    <w:p w14:paraId="05B996B5" w14:textId="77777777" w:rsidR="00931A74" w:rsidRPr="00931A74" w:rsidRDefault="00931A74" w:rsidP="00931A74">
      <w:pPr>
        <w:spacing w:after="0" w:line="360" w:lineRule="auto"/>
        <w:ind w:firstLine="709"/>
        <w:jc w:val="both"/>
      </w:pPr>
      <w:r w:rsidRPr="00931A74">
        <w:t xml:space="preserve">С точки зрения строгой рациональности, участники эксперимента действительно ведут себя иррационально, поскольку их действия не соответствуют объективным фактам и логическим выводам. Они должны были прекратить эксперимент после истечения 20 </w:t>
      </w:r>
      <w:r w:rsidRPr="00931A74">
        <w:lastRenderedPageBreak/>
        <w:t>секунд, независимо от результата, но их поведение было обусловлено эмоциональными и психологическими факторами, а не рациональным анализом. Однако, с точки зрения поведенческой экономики, такое поведение вполне объяснимо и предсказуемо, поскольку человеческое поведение часто руководствуется эмоциями и психологическими механизмами, а не исключительно логикой и рациональностью.</w:t>
      </w:r>
    </w:p>
    <w:p w14:paraId="7A3E1403" w14:textId="09C67BAE" w:rsidR="00931A74" w:rsidRPr="00931A74" w:rsidRDefault="00931A74" w:rsidP="00931A74">
      <w:pPr>
        <w:spacing w:after="0" w:line="360" w:lineRule="auto"/>
        <w:ind w:firstLine="709"/>
        <w:jc w:val="both"/>
      </w:pPr>
      <w:r w:rsidRPr="00931A74">
        <w:t>4. Примеры аналогичных ситуаций</w:t>
      </w:r>
    </w:p>
    <w:p w14:paraId="3A92A4B6" w14:textId="0C347233" w:rsidR="00931A74" w:rsidRPr="00931A74" w:rsidRDefault="00931A74" w:rsidP="00931A74">
      <w:pPr>
        <w:numPr>
          <w:ilvl w:val="0"/>
          <w:numId w:val="8"/>
        </w:numPr>
        <w:spacing w:after="0" w:line="360" w:lineRule="auto"/>
        <w:ind w:left="0" w:firstLine="709"/>
        <w:jc w:val="both"/>
      </w:pPr>
      <w:r w:rsidRPr="00931A74">
        <w:t>Медицинские обследования: пациенты, которые ожидают плохие новости от медицинских тестов, могут быть склонны принимать отрицательные результаты быстрее и избегать повторных проверок. Наоборот, те, кто надеется на хорошие результаты, могут продолжать тестироваться, даже если первоначальные результаты не подтверждают их ожидания.</w:t>
      </w:r>
    </w:p>
    <w:p w14:paraId="26C5AA11" w14:textId="46F047EC" w:rsidR="00931A74" w:rsidRPr="00931A74" w:rsidRDefault="00931A74" w:rsidP="00931A74">
      <w:pPr>
        <w:numPr>
          <w:ilvl w:val="0"/>
          <w:numId w:val="8"/>
        </w:numPr>
        <w:spacing w:after="0" w:line="360" w:lineRule="auto"/>
        <w:ind w:left="0" w:firstLine="709"/>
        <w:jc w:val="both"/>
      </w:pPr>
      <w:r w:rsidRPr="00931A74">
        <w:t>Финансовые инвестиции: инвесторы, верящие в потенциал роста определенной акции, могут игнорировать негативные новости и продолжать инвестировать в неё, несмотря на признаки снижения её стоимости. Это приводит к продолжению инвестирования на основе эмоциональных ожиданий, а не объективного анализа.</w:t>
      </w:r>
    </w:p>
    <w:p w14:paraId="081A20C0" w14:textId="368154F1" w:rsidR="00931A74" w:rsidRPr="00931A74" w:rsidRDefault="00931A74" w:rsidP="00931A74">
      <w:pPr>
        <w:numPr>
          <w:ilvl w:val="0"/>
          <w:numId w:val="8"/>
        </w:numPr>
        <w:spacing w:after="0" w:line="360" w:lineRule="auto"/>
        <w:ind w:left="0" w:firstLine="709"/>
        <w:jc w:val="both"/>
      </w:pPr>
      <w:r w:rsidRPr="00931A74">
        <w:t>Политические убеждения: люди, имеющие сильные политические убеждения, могут искать и доверять только тем новостным источникам, которые подтверждают их взгляды, игнорируя или дискредитируя источники, представляющие противоположную точку зрения.</w:t>
      </w:r>
    </w:p>
    <w:p w14:paraId="6D671FAB" w14:textId="51847860" w:rsidR="00931A74" w:rsidRPr="00931A74" w:rsidRDefault="00931A74" w:rsidP="00931A74">
      <w:pPr>
        <w:numPr>
          <w:ilvl w:val="0"/>
          <w:numId w:val="8"/>
        </w:numPr>
        <w:spacing w:after="0" w:line="360" w:lineRule="auto"/>
        <w:ind w:left="0" w:firstLine="709"/>
        <w:jc w:val="both"/>
      </w:pPr>
      <w:r w:rsidRPr="00931A74">
        <w:t xml:space="preserve">Образовательные достижения: студенты, уверенные в </w:t>
      </w:r>
      <w:r>
        <w:t>собственны</w:t>
      </w:r>
      <w:r w:rsidRPr="00931A74">
        <w:t>х способностях, могут повторять тесты или пересдавать экзамены, несмотря на низкие оценки, в надежде, что их усилия в конечном итоге приведут к успеху. Наоборот, те, кто считает себя неспособным, могут сдаться после первой неудачи и отказаться от дальнейших попыток.</w:t>
      </w:r>
    </w:p>
    <w:p w14:paraId="2836CC9F" w14:textId="620AD769" w:rsidR="00931A74" w:rsidRDefault="00931A74" w:rsidP="00931A74">
      <w:pPr>
        <w:spacing w:after="0" w:line="360" w:lineRule="auto"/>
        <w:ind w:firstLine="709"/>
        <w:jc w:val="both"/>
      </w:pPr>
      <w:r w:rsidRPr="00931A74">
        <w:t>Таким образом, когнитивное искажение подтверждения собственных убеждений оказывает значительное влияние на поведение людей, приводя их к иррациональным решениям и действиям, обусловленным эмоциональными и психологическими факторами.</w:t>
      </w:r>
    </w:p>
    <w:p w14:paraId="54F6BD7F" w14:textId="18D08FA0" w:rsidR="00931A74" w:rsidRDefault="00931A74" w:rsidP="00931A74">
      <w:pPr>
        <w:spacing w:after="0" w:line="360" w:lineRule="auto"/>
        <w:ind w:firstLine="709"/>
        <w:jc w:val="both"/>
      </w:pPr>
    </w:p>
    <w:p w14:paraId="1422A27A" w14:textId="25ED942D" w:rsidR="00931A74" w:rsidRDefault="00931A74" w:rsidP="00931A74">
      <w:pPr>
        <w:spacing w:after="0" w:line="360" w:lineRule="auto"/>
        <w:ind w:firstLine="709"/>
        <w:jc w:val="both"/>
        <w:rPr>
          <w:b/>
          <w:bCs/>
        </w:rPr>
      </w:pPr>
      <w:r w:rsidRPr="00931A74">
        <w:rPr>
          <w:b/>
          <w:bCs/>
        </w:rPr>
        <w:t>Задание 7</w:t>
      </w:r>
    </w:p>
    <w:p w14:paraId="4D507533" w14:textId="788A2307" w:rsidR="00CD1F9F" w:rsidRPr="00CD1F9F" w:rsidRDefault="00CD1F9F" w:rsidP="00CD1F9F">
      <w:pPr>
        <w:spacing w:after="0" w:line="360" w:lineRule="auto"/>
        <w:ind w:firstLine="709"/>
        <w:jc w:val="both"/>
      </w:pPr>
      <w:r>
        <w:t>«</w:t>
      </w:r>
      <w:r w:rsidRPr="00CD1F9F">
        <w:t>Паттерны экономического поведения населения в кризис</w:t>
      </w:r>
      <w:r>
        <w:t>»</w:t>
      </w:r>
      <w:r w:rsidRPr="00CD1F9F">
        <w:t>.</w:t>
      </w:r>
    </w:p>
    <w:p w14:paraId="22AD1699" w14:textId="53D83FC5" w:rsidR="00CD1F9F" w:rsidRPr="00CD1F9F" w:rsidRDefault="00CD1F9F" w:rsidP="00CD1F9F">
      <w:pPr>
        <w:spacing w:after="0" w:line="360" w:lineRule="auto"/>
        <w:ind w:firstLine="709"/>
        <w:jc w:val="both"/>
      </w:pPr>
      <w:r w:rsidRPr="00CD1F9F">
        <w:t xml:space="preserve">В периоды экономической нестабильности и кризисов потребительское поведение населения претерпевает заметные изменения. Это связано как с объективным падением доходов и покупательной способности, так и с психологическими факторами - ростом неуверенности в завтрашнем дне, стремлением создать финансовую </w:t>
      </w:r>
      <w:r>
        <w:t>«</w:t>
      </w:r>
      <w:r w:rsidRPr="00CD1F9F">
        <w:t>подушку безопасности</w:t>
      </w:r>
      <w:r>
        <w:t>»</w:t>
      </w:r>
      <w:r w:rsidRPr="00CD1F9F">
        <w:t>.</w:t>
      </w:r>
    </w:p>
    <w:p w14:paraId="6548A2BA" w14:textId="77777777" w:rsidR="00CD1F9F" w:rsidRPr="00CD1F9F" w:rsidRDefault="00CD1F9F" w:rsidP="00CD1F9F">
      <w:pPr>
        <w:spacing w:after="0" w:line="360" w:lineRule="auto"/>
        <w:ind w:firstLine="709"/>
        <w:jc w:val="both"/>
      </w:pPr>
      <w:r w:rsidRPr="00CD1F9F">
        <w:lastRenderedPageBreak/>
        <w:t>Анализ статистики потребления в кризисные годы (2008-2009, 2014-2015) показывает, что структура расходов домохозяйств меняется - снижается доля трат на товары не первой необходимости, развлечения и отдых. При этом доля расходов на продукты питания, лекарства, оплату ЖКХ возрастает. Люди начинают больше экономить, реже совершают крупные покупки, предпочитая откладывать деньги.</w:t>
      </w:r>
    </w:p>
    <w:p w14:paraId="2E97ADC9" w14:textId="77777777" w:rsidR="00CD1F9F" w:rsidRPr="00CD1F9F" w:rsidRDefault="00CD1F9F" w:rsidP="00CD1F9F">
      <w:pPr>
        <w:spacing w:after="0" w:line="360" w:lineRule="auto"/>
        <w:ind w:firstLine="709"/>
        <w:jc w:val="both"/>
      </w:pPr>
      <w:r w:rsidRPr="00CD1F9F">
        <w:t>Спрос на товары длительного пользования, такие как автомобили, мебель, дорогая электроника, в кризис ощутимо падает. Снижается число посещений ресторанов, развлекательных центров, туристических поездок. В то же время практически не меняется спрос на продукты питания и товары повседневного спроса, хотя и здесь потребители начинают выбирать более дешевые марки и активнее реагировать на акции и скидки.</w:t>
      </w:r>
    </w:p>
    <w:p w14:paraId="0BF2C74C" w14:textId="57598B62" w:rsidR="00CD1F9F" w:rsidRPr="00CD1F9F" w:rsidRDefault="00CD1F9F" w:rsidP="00CD1F9F">
      <w:pPr>
        <w:spacing w:after="0" w:line="360" w:lineRule="auto"/>
        <w:ind w:firstLine="709"/>
        <w:jc w:val="both"/>
      </w:pPr>
      <w:r w:rsidRPr="00CD1F9F">
        <w:t xml:space="preserve">Интересно, что в некоторых категориях спрос даже растет. Это касается, например, алкоголя и табачных изделий. Кроме того, увеличиваются продажи товаров, позволяющих экономить - энергосберегающих ламп, бытовой техники с низким потреблением ресурсов. Некоторые компании в кризис даже получают рост выручки за счет эффекта </w:t>
      </w:r>
      <w:r>
        <w:t>«</w:t>
      </w:r>
      <w:r w:rsidRPr="00CD1F9F">
        <w:t>дешевого люкса</w:t>
      </w:r>
      <w:r>
        <w:t>»</w:t>
      </w:r>
      <w:r w:rsidRPr="00CD1F9F">
        <w:t xml:space="preserve"> - покупки недорогих, но </w:t>
      </w:r>
      <w:r>
        <w:t>«</w:t>
      </w:r>
      <w:r w:rsidRPr="00CD1F9F">
        <w:t>статусных</w:t>
      </w:r>
      <w:r>
        <w:t>»</w:t>
      </w:r>
      <w:r w:rsidRPr="00CD1F9F">
        <w:t xml:space="preserve"> товаров вместо очень дорогих.</w:t>
      </w:r>
    </w:p>
    <w:p w14:paraId="7BD468D3" w14:textId="09866ED1" w:rsidR="00CD1F9F" w:rsidRPr="00CD1F9F" w:rsidRDefault="00CD1F9F" w:rsidP="00CD1F9F">
      <w:pPr>
        <w:spacing w:after="0" w:line="360" w:lineRule="auto"/>
        <w:ind w:firstLine="709"/>
        <w:jc w:val="both"/>
      </w:pPr>
      <w:r w:rsidRPr="00CD1F9F">
        <w:t xml:space="preserve">Важная тенденция кризисных периодов - изменение потребительской лояльности. Люди становятся менее привязанными к брендам и больше ориентируются на цену. Они чаще посещают дискаунтеры и гипермаркеты, ищут промо-акции, используют купоны на скидки. В </w:t>
      </w:r>
      <w:r>
        <w:t>таких</w:t>
      </w:r>
      <w:r w:rsidRPr="00CD1F9F">
        <w:t xml:space="preserve"> условиях компаниям важно адаптировать предложение и ценовую политику.</w:t>
      </w:r>
    </w:p>
    <w:p w14:paraId="1EC66C07" w14:textId="77777777" w:rsidR="00CD1F9F" w:rsidRPr="00CD1F9F" w:rsidRDefault="00CD1F9F" w:rsidP="00CD1F9F">
      <w:pPr>
        <w:spacing w:after="0" w:line="360" w:lineRule="auto"/>
        <w:ind w:firstLine="709"/>
        <w:jc w:val="both"/>
      </w:pPr>
      <w:r w:rsidRPr="00CD1F9F">
        <w:t>При этом стремление к экономии нередко приводит к парадоксальным результатам. Например, продажи товаров в крупной расфасовке растут, хотя в пересчете на единицу продукции они дороже. Люди запасаются продуктами и товарами длительного хранения, опасаясь дефицита и роста цен. Многие начинают больше покупать онлайн, где, как кажется, цены ниже.</w:t>
      </w:r>
    </w:p>
    <w:p w14:paraId="3D2B084F" w14:textId="7CCBFFE1" w:rsidR="00CD1F9F" w:rsidRPr="00CD1F9F" w:rsidRDefault="00CD1F9F" w:rsidP="00CD1F9F">
      <w:pPr>
        <w:spacing w:after="0" w:line="360" w:lineRule="auto"/>
        <w:ind w:firstLine="709"/>
        <w:jc w:val="both"/>
      </w:pPr>
      <w:r w:rsidRPr="00CD1F9F">
        <w:t>Кризисное поведение потребителей имеет и положительные стороны. Люди начинают более рационально подходить к покупкам, отказываются от необдуманных трат, учатся планировать бюджет. Некоторые осваивают новые способы экономии - покупку бывших в употреблении вещей, обмен услугами, совместные закупки</w:t>
      </w:r>
      <w:r>
        <w:t>, ч</w:t>
      </w:r>
      <w:r w:rsidRPr="00CD1F9F">
        <w:t xml:space="preserve">то </w:t>
      </w:r>
      <w:r>
        <w:t>позволяет</w:t>
      </w:r>
      <w:r w:rsidRPr="00CD1F9F">
        <w:t xml:space="preserve"> формировать полезные финансовые привычки и на будущее.</w:t>
      </w:r>
    </w:p>
    <w:p w14:paraId="36EA8848" w14:textId="7E12F603" w:rsidR="00CD1F9F" w:rsidRPr="00CD1F9F" w:rsidRDefault="00CD1F9F" w:rsidP="00CD1F9F">
      <w:pPr>
        <w:spacing w:after="0" w:line="360" w:lineRule="auto"/>
        <w:ind w:firstLine="709"/>
        <w:jc w:val="both"/>
      </w:pPr>
      <w:r w:rsidRPr="00CD1F9F">
        <w:t xml:space="preserve">В целом структура потребления в кризис движется в сторону большей рациональности и экономии, фокусируется на базовых потребностях. Но вместе с тем проявляются и </w:t>
      </w:r>
      <w:r>
        <w:t>«</w:t>
      </w:r>
      <w:r w:rsidRPr="00CD1F9F">
        <w:t>истерические</w:t>
      </w:r>
      <w:r>
        <w:t>»</w:t>
      </w:r>
      <w:r w:rsidRPr="00CD1F9F">
        <w:t xml:space="preserve"> паттерны поведения, парадоксы выбора. Для бизнеса становится важным предложить актуальное соотношение цены и ценности, завоевать </w:t>
      </w:r>
      <w:r w:rsidRPr="00CD1F9F">
        <w:lastRenderedPageBreak/>
        <w:t>доверие потребителя в нестабильный период. Изучение поведения покупателей в кризис дает ценные инсайты и для государственной социально-экономической политики.</w:t>
      </w:r>
    </w:p>
    <w:p w14:paraId="265A55BF" w14:textId="77777777" w:rsidR="00931A74" w:rsidRPr="00931A74" w:rsidRDefault="00931A74" w:rsidP="00931A74">
      <w:pPr>
        <w:spacing w:after="0" w:line="360" w:lineRule="auto"/>
        <w:ind w:firstLine="709"/>
        <w:jc w:val="both"/>
        <w:rPr>
          <w:b/>
          <w:bCs/>
        </w:rPr>
      </w:pPr>
    </w:p>
    <w:p w14:paraId="3CBE98C2" w14:textId="5954C002" w:rsidR="00931A74" w:rsidRPr="00931A74" w:rsidRDefault="00931A74" w:rsidP="00931A74"/>
    <w:p w14:paraId="1AEB15CB" w14:textId="77777777" w:rsidR="00931A74" w:rsidRPr="003C29F5" w:rsidRDefault="00931A74" w:rsidP="003C29F5"/>
    <w:p w14:paraId="6919B759" w14:textId="77777777" w:rsidR="003C29F5" w:rsidRPr="003C29F5" w:rsidRDefault="003C29F5" w:rsidP="003C29F5">
      <w:pPr>
        <w:spacing w:after="0" w:line="360" w:lineRule="auto"/>
        <w:ind w:firstLine="709"/>
        <w:jc w:val="both"/>
      </w:pPr>
    </w:p>
    <w:p w14:paraId="7C143ACF" w14:textId="77777777" w:rsidR="00907E01" w:rsidRPr="00012EB7" w:rsidRDefault="00907E01" w:rsidP="00012EB7">
      <w:pPr>
        <w:spacing w:after="0" w:line="360" w:lineRule="auto"/>
        <w:ind w:firstLine="709"/>
        <w:jc w:val="both"/>
      </w:pPr>
    </w:p>
    <w:p w14:paraId="18BDD18C" w14:textId="77777777" w:rsidR="00012EB7" w:rsidRPr="00012EB7" w:rsidRDefault="00012EB7" w:rsidP="00012EB7"/>
    <w:sectPr w:rsidR="00012EB7" w:rsidRPr="00012EB7" w:rsidSect="00012EB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8226" w14:textId="77777777" w:rsidR="00056F3F" w:rsidRDefault="00056F3F" w:rsidP="00012EB7">
      <w:pPr>
        <w:spacing w:after="0" w:line="240" w:lineRule="auto"/>
      </w:pPr>
      <w:r>
        <w:separator/>
      </w:r>
    </w:p>
  </w:endnote>
  <w:endnote w:type="continuationSeparator" w:id="0">
    <w:p w14:paraId="33A1F427" w14:textId="77777777" w:rsidR="00056F3F" w:rsidRDefault="00056F3F" w:rsidP="0001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C0FD" w14:textId="77777777" w:rsidR="00056F3F" w:rsidRDefault="00056F3F" w:rsidP="00012EB7">
      <w:pPr>
        <w:spacing w:after="0" w:line="240" w:lineRule="auto"/>
      </w:pPr>
      <w:r>
        <w:separator/>
      </w:r>
    </w:p>
  </w:footnote>
  <w:footnote w:type="continuationSeparator" w:id="0">
    <w:p w14:paraId="09F88A9E" w14:textId="77777777" w:rsidR="00056F3F" w:rsidRDefault="00056F3F" w:rsidP="0001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83080"/>
      <w:docPartObj>
        <w:docPartGallery w:val="Page Numbers (Top of Page)"/>
        <w:docPartUnique/>
      </w:docPartObj>
    </w:sdtPr>
    <w:sdtEndPr/>
    <w:sdtContent>
      <w:p w14:paraId="1A08836C" w14:textId="35B1C01E" w:rsidR="00012EB7" w:rsidRDefault="00012EB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BBD4C" w14:textId="77777777" w:rsidR="00012EB7" w:rsidRDefault="00012E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10B5"/>
    <w:multiLevelType w:val="multilevel"/>
    <w:tmpl w:val="4E8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358A3"/>
    <w:multiLevelType w:val="multilevel"/>
    <w:tmpl w:val="81B6969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57132E"/>
    <w:multiLevelType w:val="multilevel"/>
    <w:tmpl w:val="E9EE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834A6"/>
    <w:multiLevelType w:val="multilevel"/>
    <w:tmpl w:val="DFA44AF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FA24FC"/>
    <w:multiLevelType w:val="multilevel"/>
    <w:tmpl w:val="1A02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D249B9"/>
    <w:multiLevelType w:val="multilevel"/>
    <w:tmpl w:val="194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E11AED"/>
    <w:multiLevelType w:val="multilevel"/>
    <w:tmpl w:val="56B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5C663D"/>
    <w:multiLevelType w:val="multilevel"/>
    <w:tmpl w:val="E81E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B7"/>
    <w:rsid w:val="00012EB7"/>
    <w:rsid w:val="00056F3F"/>
    <w:rsid w:val="000B55CA"/>
    <w:rsid w:val="00157876"/>
    <w:rsid w:val="00331F88"/>
    <w:rsid w:val="003C29F5"/>
    <w:rsid w:val="00907E01"/>
    <w:rsid w:val="00931A74"/>
    <w:rsid w:val="00CD1F9F"/>
    <w:rsid w:val="00C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2EBF"/>
  <w15:chartTrackingRefBased/>
  <w15:docId w15:val="{B784B1BF-34C5-4D7E-BCD9-3D4BAC7B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EB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2EB7"/>
    <w:pPr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A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EB7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2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EB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2EB7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Placeholder Text"/>
    <w:basedOn w:val="a0"/>
    <w:uiPriority w:val="99"/>
    <w:semiHidden/>
    <w:rsid w:val="00012EB7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931A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931A74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D1F9F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1F9F"/>
    <w:pPr>
      <w:spacing w:after="100"/>
    </w:pPr>
  </w:style>
  <w:style w:type="character" w:styleId="aa">
    <w:name w:val="Hyperlink"/>
    <w:basedOn w:val="a0"/>
    <w:uiPriority w:val="99"/>
    <w:unhideWhenUsed/>
    <w:rsid w:val="00CD1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E036-ED94-42C8-BB69-E41C3A5B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2024-07-29T10:37:00Z</dcterms:created>
  <dcterms:modified xsi:type="dcterms:W3CDTF">2024-07-29T10:37:00Z</dcterms:modified>
</cp:coreProperties>
</file>